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26B63" w14:textId="01B2113F" w:rsidR="00ED115C" w:rsidRPr="00113816" w:rsidRDefault="00ED115C" w:rsidP="00457B6B">
      <w:pPr>
        <w:rPr>
          <w:b/>
          <w:bCs/>
        </w:rPr>
      </w:pPr>
      <w:r w:rsidRPr="00113816">
        <w:rPr>
          <w:rFonts w:hint="eastAsia"/>
          <w:b/>
          <w:bCs/>
        </w:rPr>
        <w:t>I</w:t>
      </w:r>
      <w:r w:rsidRPr="00113816">
        <w:rPr>
          <w:b/>
          <w:bCs/>
        </w:rPr>
        <w:t>ndependent component analysis (ICA)</w:t>
      </w:r>
      <w:r w:rsidR="00134CCF" w:rsidRPr="00113816">
        <w:rPr>
          <w:rFonts w:hint="eastAsia"/>
          <w:b/>
          <w:bCs/>
        </w:rPr>
        <w:t xml:space="preserve"> and artifact removal</w:t>
      </w:r>
    </w:p>
    <w:p w14:paraId="1806A61C" w14:textId="3B8B8489" w:rsidR="008B47E2" w:rsidRPr="00113816" w:rsidRDefault="008B47E2" w:rsidP="00457B6B">
      <w:r w:rsidRPr="00113816">
        <w:tab/>
      </w:r>
      <w:r w:rsidR="00646208" w:rsidRPr="00113816">
        <w:t xml:space="preserve">Finding a linear representation of non-Gaussian data so that the components are statistically independent, or as independent as possible, is the aim of independent component analysis (ICA) </w:t>
      </w:r>
      <w:r w:rsidR="00202B84" w:rsidRPr="00113816">
        <w:fldChar w:fldCharType="begin"/>
      </w:r>
      <w:r w:rsidR="00202B84" w:rsidRPr="00113816">
        <w:instrText xml:space="preserve"> ADDIN EN.CITE &lt;EndNote&gt;&lt;Cite&gt;&lt;Author&gt;Hyvarinen&lt;/Author&gt;&lt;Year&gt;2000&lt;/Year&gt;&lt;RecNum&gt;848&lt;/RecNum&gt;&lt;DisplayText&gt;[1]&lt;/DisplayText&gt;&lt;record&gt;&lt;rec-number&gt;848&lt;/rec-number&gt;&lt;foreign-keys&gt;&lt;key app="EN" db-id="veder2v2zaw0rcetremp9twcdtpwdswfrdxw" timestamp="1621655289"&gt;848&lt;/key&gt;&lt;/foreign-keys&gt;&lt;ref-type name="Journal Article"&gt;17&lt;/ref-type&gt;&lt;contributors&gt;&lt;authors&gt;&lt;author&gt;Hyvarinen, A.&lt;/author&gt;&lt;author&gt;Oja, E.&lt;/author&gt;&lt;/authors&gt;&lt;/contributors&gt;&lt;auth-address&gt;Neural Networks Research Centre, Helsinki University of Technology, Finland. aapo.hyvarinen@hut.fi&lt;/auth-address&gt;&lt;titles&gt;&lt;title&gt;Independent component analysis: algorithms and applications&lt;/title&gt;&lt;secondary-title&gt;Neural Netw&lt;/secondary-title&gt;&lt;/titles&gt;&lt;periodical&gt;&lt;full-title&gt;Neural Netw&lt;/full-title&gt;&lt;/periodical&gt;&lt;pages&gt;411-30&lt;/pages&gt;&lt;volume&gt;13&lt;/volume&gt;&lt;number&gt;4-5&lt;/number&gt;&lt;keywords&gt;&lt;keyword&gt;*Algorithms&lt;/keyword&gt;&lt;keyword&gt;*Artifacts&lt;/keyword&gt;&lt;keyword&gt;Brain/physiology&lt;/keyword&gt;&lt;keyword&gt;Humans&lt;/keyword&gt;&lt;keyword&gt;Magnetoencephalography&lt;/keyword&gt;&lt;keyword&gt;*Neural Networks, Computer&lt;/keyword&gt;&lt;keyword&gt;Normal Distribution&lt;/keyword&gt;&lt;/keywords&gt;&lt;dates&gt;&lt;year&gt;2000&lt;/year&gt;&lt;pub-dates&gt;&lt;date&gt;May-Jun&lt;/date&gt;&lt;/pub-dates&gt;&lt;/dates&gt;&lt;isbn&gt;0893-6080 (Print)&amp;#xD;0893-6080 (Linking)&lt;/isbn&gt;&lt;accession-num&gt;10946390&lt;/accession-num&gt;&lt;urls&gt;&lt;related-urls&gt;&lt;url&gt;https://www.ncbi.nlm.nih.gov/pubmed/10946390&lt;/url&gt;&lt;/related-urls&gt;&lt;/urls&gt;&lt;electronic-resource-num&gt;10.1016/s0893-6080(00)00026-5&lt;/electronic-resource-num&gt;&lt;/record&gt;&lt;/Cite&gt;&lt;/EndNote&gt;</w:instrText>
      </w:r>
      <w:r w:rsidR="00202B84" w:rsidRPr="00113816">
        <w:fldChar w:fldCharType="separate"/>
      </w:r>
      <w:r w:rsidR="00202B84" w:rsidRPr="00113816">
        <w:rPr>
          <w:noProof/>
        </w:rPr>
        <w:t>[1]</w:t>
      </w:r>
      <w:r w:rsidR="00202B84" w:rsidRPr="00113816">
        <w:fldChar w:fldCharType="end"/>
      </w:r>
      <w:r w:rsidR="00646208" w:rsidRPr="00113816">
        <w:t>. The linear format of EEG signals makes it simple to eliminate artifacts like eye movement and blinking. Below is a description of the ICA algorithm</w:t>
      </w:r>
      <w:r w:rsidR="00202B84" w:rsidRPr="00113816">
        <w:rPr>
          <w:rFonts w:hint="eastAsia"/>
        </w:rPr>
        <w:t xml:space="preserve"> </w:t>
      </w:r>
      <w:r w:rsidR="00202B84" w:rsidRPr="00113816">
        <w:fldChar w:fldCharType="begin"/>
      </w:r>
      <w:r w:rsidR="00202B84" w:rsidRPr="00113816">
        <w:instrText xml:space="preserve"> ADDIN EN.CITE &lt;EndNote&gt;&lt;Cite&gt;&lt;Author&gt;Hyvarinen&lt;/Author&gt;&lt;Year&gt;2000&lt;/Year&gt;&lt;RecNum&gt;848&lt;/RecNum&gt;&lt;DisplayText&gt;[1]&lt;/DisplayText&gt;&lt;record&gt;&lt;rec-number&gt;848&lt;/rec-number&gt;&lt;foreign-keys&gt;&lt;key app="EN" db-id="veder2v2zaw0rcetremp9twcdtpwdswfrdxw" timestamp="1621655289"&gt;848&lt;/key&gt;&lt;/foreign-keys&gt;&lt;ref-type name="Journal Article"&gt;17&lt;/ref-type&gt;&lt;contributors&gt;&lt;authors&gt;&lt;author&gt;Hyvarinen, A.&lt;/author&gt;&lt;author&gt;Oja, E.&lt;/author&gt;&lt;/authors&gt;&lt;/contributors&gt;&lt;auth-address&gt;Neural Networks Research Centre, Helsinki University of Technology, Finland. aapo.hyvarinen@hut.fi&lt;/auth-address&gt;&lt;titles&gt;&lt;title&gt;Independent component analysis: algorithms and applications&lt;/title&gt;&lt;secondary-title&gt;Neural Netw&lt;/secondary-title&gt;&lt;/titles&gt;&lt;periodical&gt;&lt;full-title&gt;Neural Netw&lt;/full-title&gt;&lt;/periodical&gt;&lt;pages&gt;411-30&lt;/pages&gt;&lt;volume&gt;13&lt;/volume&gt;&lt;number&gt;4-5&lt;/number&gt;&lt;keywords&gt;&lt;keyword&gt;*Algorithms&lt;/keyword&gt;&lt;keyword&gt;*Artifacts&lt;/keyword&gt;&lt;keyword&gt;Brain/physiology&lt;/keyword&gt;&lt;keyword&gt;Humans&lt;/keyword&gt;&lt;keyword&gt;Magnetoencephalography&lt;/keyword&gt;&lt;keyword&gt;*Neural Networks, Computer&lt;/keyword&gt;&lt;keyword&gt;Normal Distribution&lt;/keyword&gt;&lt;/keywords&gt;&lt;dates&gt;&lt;year&gt;2000&lt;/year&gt;&lt;pub-dates&gt;&lt;date&gt;May-Jun&lt;/date&gt;&lt;/pub-dates&gt;&lt;/dates&gt;&lt;isbn&gt;0893-6080 (Print)&amp;#xD;0893-6080 (Linking)&lt;/isbn&gt;&lt;accession-num&gt;10946390&lt;/accession-num&gt;&lt;urls&gt;&lt;related-urls&gt;&lt;url&gt;https://www.ncbi.nlm.nih.gov/pubmed/10946390&lt;/url&gt;&lt;/related-urls&gt;&lt;/urls&gt;&lt;electronic-resource-num&gt;10.1016/s0893-6080(00)00026-5&lt;/electronic-resource-num&gt;&lt;/record&gt;&lt;/Cite&gt;&lt;/EndNote&gt;</w:instrText>
      </w:r>
      <w:r w:rsidR="00202B84" w:rsidRPr="00113816">
        <w:fldChar w:fldCharType="separate"/>
      </w:r>
      <w:r w:rsidR="00202B84" w:rsidRPr="00113816">
        <w:rPr>
          <w:noProof/>
        </w:rPr>
        <w:t>[1]</w:t>
      </w:r>
      <w:r w:rsidR="00202B84" w:rsidRPr="00113816">
        <w:fldChar w:fldCharType="end"/>
      </w:r>
      <w:r w:rsidR="00646208" w:rsidRPr="00113816">
        <w:t>.</w:t>
      </w:r>
      <w:r w:rsidR="00646208" w:rsidRPr="00113816">
        <w:rPr>
          <w:rFonts w:hint="eastAsia"/>
        </w:rPr>
        <w:t xml:space="preserve"> </w:t>
      </w:r>
      <w:r w:rsidR="00646208" w:rsidRPr="00113816">
        <w:t xml:space="preserve">Let's say we see n linear mixtures of </w:t>
      </w:r>
      <w:proofErr w:type="spellStart"/>
      <w:r w:rsidR="00646208" w:rsidRPr="00113816">
        <w:t>n</w:t>
      </w:r>
      <w:proofErr w:type="spellEnd"/>
      <w:r w:rsidR="00646208" w:rsidRPr="00113816">
        <w:t xml:space="preserve"> independent components, </w:t>
      </w:r>
      <w:r w:rsidR="00646208" w:rsidRPr="00113816">
        <w:rPr>
          <w:i/>
          <w:iCs/>
        </w:rPr>
        <w:t>x</w:t>
      </w:r>
      <w:r w:rsidR="00646208" w:rsidRPr="00113816">
        <w:rPr>
          <w:i/>
          <w:iCs/>
          <w:vertAlign w:val="subscript"/>
        </w:rPr>
        <w:t>1</w:t>
      </w:r>
      <w:r w:rsidR="00646208" w:rsidRPr="00113816">
        <w:rPr>
          <w:i/>
          <w:iCs/>
        </w:rPr>
        <w:t>, x</w:t>
      </w:r>
      <w:proofErr w:type="gramStart"/>
      <w:r w:rsidR="00646208" w:rsidRPr="00113816">
        <w:rPr>
          <w:i/>
          <w:iCs/>
          <w:vertAlign w:val="subscript"/>
        </w:rPr>
        <w:t>2</w:t>
      </w:r>
      <w:r w:rsidR="00646208" w:rsidRPr="00113816">
        <w:rPr>
          <w:i/>
          <w:iCs/>
        </w:rPr>
        <w:t>,...</w:t>
      </w:r>
      <w:proofErr w:type="gramEnd"/>
      <w:r w:rsidR="00646208" w:rsidRPr="00113816">
        <w:rPr>
          <w:i/>
          <w:iCs/>
        </w:rPr>
        <w:t xml:space="preserve">, </w:t>
      </w:r>
      <w:proofErr w:type="spellStart"/>
      <w:r w:rsidR="00646208" w:rsidRPr="00113816">
        <w:rPr>
          <w:i/>
          <w:iCs/>
        </w:rPr>
        <w:t>x</w:t>
      </w:r>
      <w:r w:rsidR="00646208" w:rsidRPr="00113816">
        <w:rPr>
          <w:i/>
          <w:iCs/>
          <w:vertAlign w:val="subscript"/>
        </w:rPr>
        <w:t>n</w:t>
      </w:r>
      <w:proofErr w:type="spellEnd"/>
      <w:r w:rsidR="00646208" w:rsidRPr="00113816">
        <w:t xml:space="preserve">, such as </w:t>
      </w:r>
      <m:oMath>
        <m:sSub>
          <m:sSubPr>
            <m:ctrlPr>
              <w:rPr>
                <w:rFonts w:ascii="Cambria Math" w:hAnsi="Cambria Math"/>
                <w:i/>
              </w:rPr>
            </m:ctrlPr>
          </m:sSubPr>
          <m:e>
            <m:r>
              <w:rPr>
                <w:rFonts w:ascii="Cambria Math" w:hAnsi="Cambria Math"/>
              </w:rPr>
              <m:t>x</m:t>
            </m:r>
          </m:e>
          <m:sub>
            <m:r>
              <w:rPr>
                <w:rFonts w:ascii="Cambria Math" w:hAnsi="Cambria Math"/>
              </w:rPr>
              <m:t>j</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j1</m:t>
            </m:r>
          </m:sub>
        </m:sSub>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j2</m:t>
            </m:r>
          </m:sub>
        </m:sSub>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jn</m:t>
            </m:r>
          </m:sub>
        </m:sSub>
        <m:sSub>
          <m:sSubPr>
            <m:ctrlPr>
              <w:rPr>
                <w:rFonts w:ascii="Cambria Math" w:hAnsi="Cambria Math"/>
                <w:i/>
              </w:rPr>
            </m:ctrlPr>
          </m:sSubPr>
          <m:e>
            <m:r>
              <w:rPr>
                <w:rFonts w:ascii="Cambria Math" w:hAnsi="Cambria Math"/>
              </w:rPr>
              <m:t>s</m:t>
            </m:r>
          </m:e>
          <m:sub>
            <m:r>
              <w:rPr>
                <w:rFonts w:ascii="Cambria Math" w:hAnsi="Cambria Math"/>
              </w:rPr>
              <m:t>n</m:t>
            </m:r>
          </m:sub>
        </m:sSub>
        <m:r>
          <w:rPr>
            <w:rFonts w:ascii="Cambria Math" w:hAnsi="Cambria Math"/>
          </w:rPr>
          <m:t>, ∀ j</m:t>
        </m:r>
      </m:oMath>
    </w:p>
    <w:p w14:paraId="1340FD1A" w14:textId="77777777" w:rsidR="00457B6B" w:rsidRPr="00113816" w:rsidRDefault="008B47E2" w:rsidP="00457B6B">
      <w:pPr>
        <w:jc w:val="left"/>
      </w:pPr>
      <w:r w:rsidRPr="00113816">
        <w:tab/>
      </w:r>
      <w:r w:rsidR="00457B6B" w:rsidRPr="00113816">
        <w:t>Every mixture (</w:t>
      </w:r>
      <w:proofErr w:type="spellStart"/>
      <w:r w:rsidR="00457B6B" w:rsidRPr="00113816">
        <w:t>x_j</w:t>
      </w:r>
      <w:proofErr w:type="spellEnd"/>
      <w:r w:rsidR="00457B6B" w:rsidRPr="00113816">
        <w:t>) and independent component (</w:t>
      </w:r>
      <w:proofErr w:type="spellStart"/>
      <w:r w:rsidR="00457B6B" w:rsidRPr="00113816">
        <w:t>s_k</w:t>
      </w:r>
      <w:proofErr w:type="spellEnd"/>
      <w:r w:rsidR="00457B6B" w:rsidRPr="00113816">
        <w:t>) is assumed to be a random variable. We can assume that the independent components and the mixture variables have zero means without sacrificing generality. Let x be the random vector whose elements are the mixtures x_1, x_</w:t>
      </w:r>
      <w:proofErr w:type="gramStart"/>
      <w:r w:rsidR="00457B6B" w:rsidRPr="00113816">
        <w:t>2,...</w:t>
      </w:r>
      <w:proofErr w:type="gramEnd"/>
      <w:r w:rsidR="00457B6B" w:rsidRPr="00113816">
        <w:t xml:space="preserve">, </w:t>
      </w:r>
      <w:proofErr w:type="spellStart"/>
      <w:r w:rsidR="00457B6B" w:rsidRPr="00113816">
        <w:t>x_n</w:t>
      </w:r>
      <w:proofErr w:type="spellEnd"/>
      <w:r w:rsidR="00457B6B" w:rsidRPr="00113816">
        <w:t xml:space="preserve">. Similarly, let </w:t>
      </w:r>
      <w:proofErr w:type="spellStart"/>
      <w:r w:rsidR="00457B6B" w:rsidRPr="00113816">
        <w:t>s</w:t>
      </w:r>
      <w:proofErr w:type="spellEnd"/>
      <w:r w:rsidR="00457B6B" w:rsidRPr="00113816">
        <w:t xml:space="preserve"> be the random vector with elements s_1, s_</w:t>
      </w:r>
      <w:proofErr w:type="gramStart"/>
      <w:r w:rsidR="00457B6B" w:rsidRPr="00113816">
        <w:t>2,...</w:t>
      </w:r>
      <w:proofErr w:type="gramEnd"/>
      <w:r w:rsidR="00457B6B" w:rsidRPr="00113816">
        <w:t xml:space="preserve">, </w:t>
      </w:r>
      <w:proofErr w:type="spellStart"/>
      <w:r w:rsidR="00457B6B" w:rsidRPr="00113816">
        <w:t>s_n</w:t>
      </w:r>
      <w:proofErr w:type="spellEnd"/>
      <w:r w:rsidR="00457B6B" w:rsidRPr="00113816">
        <w:t xml:space="preserve">. Let A be the matrix with elements </w:t>
      </w:r>
      <w:proofErr w:type="spellStart"/>
      <w:r w:rsidR="00457B6B" w:rsidRPr="00113816">
        <w:t>a_ij</w:t>
      </w:r>
      <w:proofErr w:type="spellEnd"/>
      <w:r w:rsidR="00457B6B" w:rsidRPr="00113816">
        <w:t xml:space="preserve">. The above mixing model is therefore expressed as </w:t>
      </w:r>
      <w:r w:rsidR="00457B6B" w:rsidRPr="00113816">
        <w:rPr>
          <w:i/>
          <w:iCs/>
        </w:rPr>
        <w:t>x=As</w:t>
      </w:r>
      <w:r w:rsidR="00457B6B" w:rsidRPr="00113816">
        <w:t xml:space="preserve"> using this vector-matrix notation.</w:t>
      </w:r>
    </w:p>
    <w:p w14:paraId="7AE2E482" w14:textId="709F82A3" w:rsidR="00457B6B" w:rsidRPr="00113816" w:rsidRDefault="00457B6B" w:rsidP="00457B6B">
      <w:pPr>
        <w:jc w:val="left"/>
      </w:pPr>
      <w:r w:rsidRPr="00113816">
        <w:t xml:space="preserve">The equation can also be expressed as </w:t>
      </w:r>
      <m:oMath>
        <m:r>
          <w:rPr>
            <w:rFonts w:ascii="Cambria Math" w:hAnsi="Cambria Math"/>
          </w:rPr>
          <m:t xml:space="preserve">x= </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a</m:t>
                </m:r>
              </m:e>
              <m:sub>
                <m:r>
                  <w:rPr>
                    <w:rFonts w:ascii="Cambria Math" w:hAnsi="Cambria Math"/>
                  </w:rPr>
                  <m:t>i</m:t>
                </m:r>
              </m:sub>
            </m:sSub>
            <m:sSub>
              <m:sSubPr>
                <m:ctrlPr>
                  <w:rPr>
                    <w:rFonts w:ascii="Cambria Math" w:hAnsi="Cambria Math"/>
                    <w:i/>
                  </w:rPr>
                </m:ctrlPr>
              </m:sSubPr>
              <m:e>
                <m:r>
                  <w:rPr>
                    <w:rFonts w:ascii="Cambria Math" w:hAnsi="Cambria Math"/>
                  </w:rPr>
                  <m:t>s</m:t>
                </m:r>
              </m:e>
              <m:sub>
                <m:r>
                  <w:rPr>
                    <w:rFonts w:ascii="Cambria Math" w:hAnsi="Cambria Math"/>
                  </w:rPr>
                  <m:t>i</m:t>
                </m:r>
              </m:sub>
            </m:sSub>
          </m:e>
        </m:nary>
      </m:oMath>
      <w:r w:rsidRPr="00113816">
        <w:t>, which represents the columns of matrix A.</w:t>
      </w:r>
      <w:r w:rsidRPr="00113816">
        <w:rPr>
          <w:rFonts w:hint="eastAsia"/>
        </w:rPr>
        <w:t xml:space="preserve"> </w:t>
      </w:r>
      <w:r w:rsidRPr="00113816">
        <w:t xml:space="preserve">As a generative model, the ICA model explains how the components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113816">
        <w:t xml:space="preserve"> are mixed to produce the observed data. Since the independent components cannot be directly observed, they are latent variables. Furthermore, it is believed that the mixing matrix is unknown. The random vector x is all we see, and we have to use it to estimate both A and s. This needs to be carried out under the broadest possible </w:t>
      </w:r>
      <w:r w:rsidRPr="00113816">
        <w:lastRenderedPageBreak/>
        <w:t>assumptions. After estimating the matrix A, we can compute its inversive matrix A</w:t>
      </w:r>
      <w:proofErr w:type="gramStart"/>
      <w:r w:rsidRPr="00113816">
        <w:t>^(</w:t>
      </w:r>
      <w:proofErr w:type="gramEnd"/>
      <w:r w:rsidRPr="00113816">
        <w:t xml:space="preserve">-1) and obtain the independent components s_1,s_2,… ,s_n by </w:t>
      </w:r>
      <m:oMath>
        <m:r>
          <w:rPr>
            <w:rFonts w:ascii="Cambria Math" w:hAnsi="Cambria Math"/>
          </w:rPr>
          <m:t>s=</m:t>
        </m:r>
        <m:sSup>
          <m:sSupPr>
            <m:ctrlPr>
              <w:rPr>
                <w:rFonts w:ascii="Cambria Math" w:hAnsi="Cambria Math"/>
                <w:i/>
              </w:rPr>
            </m:ctrlPr>
          </m:sSupPr>
          <m:e>
            <m:r>
              <w:rPr>
                <w:rFonts w:ascii="Cambria Math" w:hAnsi="Cambria Math"/>
              </w:rPr>
              <m:t>A</m:t>
            </m:r>
          </m:e>
          <m:sup>
            <m:r>
              <w:rPr>
                <w:rFonts w:ascii="Cambria Math" w:hAnsi="Cambria Math"/>
              </w:rPr>
              <m:t>-1</m:t>
            </m:r>
          </m:sup>
        </m:sSup>
        <m:r>
          <w:rPr>
            <w:rFonts w:ascii="Cambria Math" w:hAnsi="Cambria Math"/>
          </w:rPr>
          <m:t>x</m:t>
        </m:r>
      </m:oMath>
      <w:r w:rsidR="00C90C12" w:rsidRPr="00113816">
        <w:rPr>
          <w:rFonts w:hint="eastAsia"/>
        </w:rPr>
        <w:t xml:space="preserve">. </w:t>
      </w:r>
    </w:p>
    <w:p w14:paraId="29F32A03" w14:textId="26A43C85" w:rsidR="00233EA0" w:rsidRPr="00113816" w:rsidRDefault="000A1A8B" w:rsidP="008B47E2">
      <w:pPr>
        <w:jc w:val="left"/>
      </w:pPr>
      <w:r w:rsidRPr="00113816">
        <w:t>In addition, artifact components were identified based on a combination of spatial topography, spectral characteristics, and time-course patterns. Ocular artifacts were recognized by characteristic frontal scalp distributions and large slow deflections associated with eye blinks or eye movements. Muscle artifacts were identified by high-frequency activity with localized temporal or peripheral scalp distributions, whereas cardiac artifacts were identified by rhythmic activity synchronized with the cardiac cycle. Components exhibiting these characteristic patterns were removed prior to EEG feature extraction.</w:t>
      </w:r>
    </w:p>
    <w:p w14:paraId="2B3EFF3B" w14:textId="77777777" w:rsidR="000A1A8B" w:rsidRPr="00113816" w:rsidRDefault="000A1A8B" w:rsidP="008B47E2">
      <w:pPr>
        <w:jc w:val="left"/>
      </w:pPr>
    </w:p>
    <w:p w14:paraId="2115C0A3" w14:textId="16DD8761" w:rsidR="00E92348" w:rsidRPr="00113816" w:rsidRDefault="00BF4081">
      <w:pPr>
        <w:rPr>
          <w:b/>
          <w:bCs/>
        </w:rPr>
      </w:pPr>
      <w:r w:rsidRPr="00113816">
        <w:rPr>
          <w:rFonts w:hint="eastAsia"/>
          <w:b/>
          <w:bCs/>
        </w:rPr>
        <w:t>Feature extractions</w:t>
      </w:r>
    </w:p>
    <w:p w14:paraId="3C23FFE6" w14:textId="54D2D4B7" w:rsidR="00BF4081" w:rsidRPr="00113816" w:rsidRDefault="00BF4081" w:rsidP="00BF4081">
      <w:r w:rsidRPr="00113816">
        <w:t>From each frontal channel (FP1, FP2, F3, F4, F7, F8, and FZ), six EEG features were extracted, including five nonlinear measures and one linear spectral feature. Nonlinear measures included the Largest Lyapunov Exponent (LLE), Detrended Fluctuation Analysis (DFA), Approximate Entropy (</w:t>
      </w:r>
      <w:proofErr w:type="spellStart"/>
      <w:r w:rsidRPr="00113816">
        <w:t>ApEn</w:t>
      </w:r>
      <w:proofErr w:type="spellEnd"/>
      <w:r w:rsidRPr="00113816">
        <w:t xml:space="preserve">), Katz Fractal Dimension (KFD), and Higuchi Fractal Dimension (HFD). These features characterize different aspects of neural dynamics, including signal instability, long-range temporal correlations, signal complexity, and fractal properties of EEG time series. Linear spectral features were </w:t>
      </w:r>
      <w:r w:rsidRPr="00113816">
        <w:lastRenderedPageBreak/>
        <w:t>calculated using the Welch periodogram method to estimate band power across standard EEG frequency bands. This approach provides robust spectral estimates by averaging modified periodograms across overlapping windows.</w:t>
      </w:r>
      <w:r w:rsidR="00145154" w:rsidRPr="00113816">
        <w:rPr>
          <w:rFonts w:hint="eastAsia"/>
        </w:rPr>
        <w:t xml:space="preserve"> More specific details were listed below. </w:t>
      </w:r>
    </w:p>
    <w:p w14:paraId="5A2969BD" w14:textId="549E1CDB" w:rsidR="00785D9E" w:rsidRPr="00113816" w:rsidRDefault="00785D9E" w:rsidP="00785D9E">
      <w:pPr>
        <w:rPr>
          <w:b/>
          <w:bCs/>
        </w:rPr>
      </w:pPr>
      <w:r w:rsidRPr="00113816">
        <w:rPr>
          <w:b/>
          <w:bCs/>
        </w:rPr>
        <w:t>Largest Lyapunov Exponent (LLE)</w:t>
      </w:r>
    </w:p>
    <w:p w14:paraId="01CA6596" w14:textId="3A607C07" w:rsidR="00785D9E" w:rsidRPr="00113816" w:rsidRDefault="00785D9E" w:rsidP="00785D9E">
      <w:r w:rsidRPr="00113816">
        <w:t xml:space="preserve">The largest Lyapunov exponent (LLE) quantifies the dynamical instability of a time series by measuring the exponential divergence of nearby trajectories in reconstructed phase space. Given a time series </w:t>
      </w:r>
      <m:oMath>
        <m:r>
          <w:rPr>
            <w:rFonts w:ascii="Cambria Math" w:hAnsi="Cambria Math"/>
          </w:rPr>
          <m:t>S=[x(1),x(2),…,x(N)]</m:t>
        </m:r>
      </m:oMath>
      <w:r w:rsidRPr="00113816">
        <w:t>, the phase space is reconstructed using time-delay embedding:</w:t>
      </w:r>
    </w:p>
    <w:p w14:paraId="4CA7CA83" w14:textId="0B6EED24" w:rsidR="00785D9E" w:rsidRPr="00113816" w:rsidRDefault="00785D9E" w:rsidP="00785D9E">
      <m:oMathPara>
        <m:oMath>
          <m:r>
            <w:rPr>
              <w:rFonts w:ascii="Cambria Math" w:hAnsi="Cambria Math"/>
            </w:rPr>
            <m:t>X(i)=[x(i),x(i+1),…,x(i+m-1)]</m:t>
          </m:r>
        </m:oMath>
      </m:oMathPara>
    </w:p>
    <w:p w14:paraId="5C10E513" w14:textId="3ADC4D9F" w:rsidR="00785D9E" w:rsidRPr="00113816" w:rsidRDefault="00785D9E" w:rsidP="00785D9E">
      <w:r w:rsidRPr="00113816">
        <w:t xml:space="preserve">where </w:t>
      </w:r>
      <m:oMath>
        <m:r>
          <w:rPr>
            <w:rFonts w:ascii="Cambria Math" w:hAnsi="Cambria Math"/>
          </w:rPr>
          <m:t>m</m:t>
        </m:r>
      </m:oMath>
      <w:r w:rsidR="00FB679E" w:rsidRPr="00113816">
        <w:rPr>
          <w:rFonts w:hint="eastAsia"/>
        </w:rPr>
        <w:t xml:space="preserve"> </w:t>
      </w:r>
      <w:r w:rsidRPr="00113816">
        <w:t>denotes the embedding dimension.</w:t>
      </w:r>
      <w:r w:rsidR="00FB679E" w:rsidRPr="00113816">
        <w:rPr>
          <w:rFonts w:hint="eastAsia"/>
        </w:rPr>
        <w:t xml:space="preserve"> </w:t>
      </w:r>
    </w:p>
    <w:p w14:paraId="0F30E073" w14:textId="77777777" w:rsidR="00785D9E" w:rsidRPr="00113816" w:rsidRDefault="00785D9E" w:rsidP="00785D9E">
      <w:r w:rsidRPr="00113816">
        <w:t>The divergence between two neighboring trajectories evolves as:</w:t>
      </w:r>
    </w:p>
    <w:p w14:paraId="611F4762" w14:textId="5310FE56" w:rsidR="00785D9E" w:rsidRPr="00113816" w:rsidRDefault="008C4220" w:rsidP="00785D9E">
      <m:oMathPara>
        <m:oMath>
          <m:sSub>
            <m:sSubPr>
              <m:ctrlPr>
                <w:rPr>
                  <w:rFonts w:ascii="Cambria Math" w:hAnsi="Cambria Math"/>
                </w:rPr>
              </m:ctrlPr>
            </m:sSubPr>
            <m:e>
              <m:r>
                <w:rPr>
                  <w:rFonts w:ascii="Cambria Math" w:hAnsi="Cambria Math"/>
                </w:rPr>
                <m:t>d</m:t>
              </m:r>
            </m:e>
            <m:sub>
              <m:r>
                <w:rPr>
                  <w:rFonts w:ascii="Cambria Math" w:hAnsi="Cambria Math"/>
                </w:rPr>
                <m:t>j</m:t>
              </m:r>
            </m:sub>
          </m:sSub>
          <m:r>
            <w:rPr>
              <w:rFonts w:ascii="Cambria Math" w:hAnsi="Cambria Math"/>
            </w:rPr>
            <m:t>(i)=</m:t>
          </m:r>
          <m:sSub>
            <m:sSubPr>
              <m:ctrlPr>
                <w:rPr>
                  <w:rFonts w:ascii="Cambria Math" w:hAnsi="Cambria Math"/>
                </w:rPr>
              </m:ctrlPr>
            </m:sSubPr>
            <m:e>
              <m:r>
                <w:rPr>
                  <w:rFonts w:ascii="Cambria Math" w:hAnsi="Cambria Math"/>
                </w:rPr>
                <m:t>d</m:t>
              </m:r>
            </m:e>
            <m:sub>
              <m:r>
                <w:rPr>
                  <w:rFonts w:ascii="Cambria Math" w:hAnsi="Cambria Math"/>
                </w:rPr>
                <m:t>j</m:t>
              </m:r>
            </m:sub>
          </m:sSub>
          <m:r>
            <w:rPr>
              <w:rFonts w:ascii="Cambria Math" w:hAnsi="Cambria Math"/>
            </w:rPr>
            <m:t>(0)</m:t>
          </m:r>
          <m:sSup>
            <m:sSupPr>
              <m:ctrlPr>
                <w:rPr>
                  <w:rFonts w:ascii="Cambria Math" w:hAnsi="Cambria Math"/>
                </w:rPr>
              </m:ctrlPr>
            </m:sSupPr>
            <m:e>
              <m:r>
                <w:rPr>
                  <w:rFonts w:ascii="Cambria Math" w:hAnsi="Cambria Math"/>
                </w:rPr>
                <m:t>e</m:t>
              </m:r>
            </m:e>
            <m:sup>
              <m:sSub>
                <m:sSubPr>
                  <m:ctrlPr>
                    <w:rPr>
                      <w:rFonts w:ascii="Cambria Math" w:hAnsi="Cambria Math"/>
                    </w:rPr>
                  </m:ctrlPr>
                </m:sSubPr>
                <m:e>
                  <m:r>
                    <w:rPr>
                      <w:rFonts w:ascii="Cambria Math" w:hAnsi="Cambria Math"/>
                    </w:rPr>
                    <m:t>λ</m:t>
                  </m:r>
                </m:e>
                <m:sub>
                  <m:r>
                    <w:rPr>
                      <w:rFonts w:ascii="Cambria Math" w:hAnsi="Cambria Math"/>
                    </w:rPr>
                    <m:t>1</m:t>
                  </m:r>
                </m:sub>
              </m:sSub>
              <m:r>
                <w:rPr>
                  <w:rFonts w:ascii="Cambria Math" w:hAnsi="Cambria Math"/>
                </w:rPr>
                <m:t>i</m:t>
              </m:r>
              <m:r>
                <m:rPr>
                  <m:sty m:val="p"/>
                </m:rPr>
                <w:rPr>
                  <w:rFonts w:ascii="Cambria Math" w:hAnsi="Cambria Math"/>
                </w:rPr>
                <m:t>Δ</m:t>
              </m:r>
              <m:r>
                <w:rPr>
                  <w:rFonts w:ascii="Cambria Math" w:hAnsi="Cambria Math"/>
                </w:rPr>
                <m:t>t</m:t>
              </m:r>
            </m:sup>
          </m:sSup>
        </m:oMath>
      </m:oMathPara>
    </w:p>
    <w:p w14:paraId="08026FDE" w14:textId="5B9A8A02" w:rsidR="00785D9E" w:rsidRPr="00113816" w:rsidRDefault="00785D9E" w:rsidP="00785D9E">
      <w:r w:rsidRPr="00113816">
        <w:t xml:space="preserve">where </w:t>
      </w:r>
      <m:oMath>
        <m:sSub>
          <m:sSubPr>
            <m:ctrlPr>
              <w:rPr>
                <w:rFonts w:ascii="Cambria Math" w:hAnsi="Cambria Math"/>
              </w:rPr>
            </m:ctrlPr>
          </m:sSubPr>
          <m:e>
            <m:r>
              <w:rPr>
                <w:rFonts w:ascii="Cambria Math" w:hAnsi="Cambria Math"/>
              </w:rPr>
              <m:t>λ</m:t>
            </m:r>
          </m:e>
          <m:sub>
            <m:r>
              <w:rPr>
                <w:rFonts w:ascii="Cambria Math" w:hAnsi="Cambria Math"/>
              </w:rPr>
              <m:t>1</m:t>
            </m:r>
          </m:sub>
        </m:sSub>
      </m:oMath>
      <w:r w:rsidRPr="00113816">
        <w:t>represents the largest Lyapunov exponent. The LLE is estimated as the slope of the linear region of the logarithmic divergence curve:</w:t>
      </w:r>
    </w:p>
    <w:p w14:paraId="608A5563" w14:textId="4DFA03C1" w:rsidR="00785D9E" w:rsidRPr="00113816" w:rsidRDefault="00785D9E" w:rsidP="00785D9E">
      <m:oMathPara>
        <m:oMath>
          <m:r>
            <m:rPr>
              <m:sty m:val="p"/>
            </m:rPr>
            <w:rPr>
              <w:rFonts w:ascii="Cambria Math" w:hAnsi="Cambria Math"/>
            </w:rPr>
            <m:t>ln</m:t>
          </m:r>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j</m:t>
              </m:r>
            </m:sub>
          </m:sSub>
          <m:r>
            <w:rPr>
              <w:rFonts w:ascii="Cambria Math" w:hAnsi="Cambria Math"/>
            </w:rPr>
            <m:t>(i))=</m:t>
          </m:r>
          <m:r>
            <m:rPr>
              <m:sty m:val="p"/>
            </m:rPr>
            <w:rPr>
              <w:rFonts w:ascii="Cambria Math" w:hAnsi="Cambria Math"/>
            </w:rPr>
            <m:t>ln</m:t>
          </m:r>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j</m:t>
              </m:r>
            </m:sub>
          </m:sSub>
          <m:r>
            <w:rPr>
              <w:rFonts w:ascii="Cambria Math" w:hAnsi="Cambria Math"/>
            </w:rPr>
            <m:t>(0))+</m:t>
          </m:r>
          <m:sSub>
            <m:sSubPr>
              <m:ctrlPr>
                <w:rPr>
                  <w:rFonts w:ascii="Cambria Math" w:hAnsi="Cambria Math"/>
                </w:rPr>
              </m:ctrlPr>
            </m:sSubPr>
            <m:e>
              <m:r>
                <w:rPr>
                  <w:rFonts w:ascii="Cambria Math" w:hAnsi="Cambria Math"/>
                </w:rPr>
                <m:t>λ</m:t>
              </m:r>
            </m:e>
            <m:sub>
              <m:r>
                <w:rPr>
                  <w:rFonts w:ascii="Cambria Math" w:hAnsi="Cambria Math"/>
                </w:rPr>
                <m:t>1</m:t>
              </m:r>
            </m:sub>
          </m:sSub>
          <m:r>
            <w:rPr>
              <w:rFonts w:ascii="Cambria Math" w:hAnsi="Cambria Math"/>
            </w:rPr>
            <m:t>i</m:t>
          </m:r>
          <m:r>
            <m:rPr>
              <m:sty m:val="p"/>
            </m:rPr>
            <w:rPr>
              <w:rFonts w:ascii="Cambria Math" w:hAnsi="Cambria Math"/>
            </w:rPr>
            <m:t>Δ</m:t>
          </m:r>
          <m:r>
            <w:rPr>
              <w:rFonts w:ascii="Cambria Math" w:hAnsi="Cambria Math"/>
            </w:rPr>
            <m:t>t</m:t>
          </m:r>
        </m:oMath>
      </m:oMathPara>
    </w:p>
    <w:p w14:paraId="6C6ED404" w14:textId="6D815A84" w:rsidR="00785D9E" w:rsidRPr="00113816" w:rsidRDefault="00785D9E" w:rsidP="001C1E98">
      <w:r w:rsidRPr="00113816">
        <w:t>A positive LLE indicates chaotic dynamics and higher sensitivity to initial conditions.</w:t>
      </w:r>
      <w:r w:rsidR="0035639F" w:rsidRPr="00113816">
        <w:rPr>
          <w:rFonts w:hint="eastAsia"/>
        </w:rPr>
        <w:t xml:space="preserve"> </w:t>
      </w:r>
      <w:r w:rsidR="007A610C" w:rsidRPr="00113816">
        <w:t xml:space="preserve">The </w:t>
      </w:r>
      <w:r w:rsidR="007A610C" w:rsidRPr="00113816">
        <w:rPr>
          <w:rFonts w:hint="eastAsia"/>
        </w:rPr>
        <w:t>LLE</w:t>
      </w:r>
      <w:r w:rsidR="007A610C" w:rsidRPr="00113816">
        <w:t xml:space="preserve"> was computed to quantify the dynamical instability of EEG time series. Phase-space reconstruction was performed using embedding dimensions ranging from 5 to 20 </w:t>
      </w:r>
      <w:r w:rsidR="007A610C" w:rsidRPr="00113816">
        <w:lastRenderedPageBreak/>
        <w:t>with a time delay of 1 sample. The LLE was estimated from the slope of the linear region of the divergence curve using linear polynomial fitting across embedding dimensions 4</w:t>
      </w:r>
      <w:r w:rsidR="007A610C" w:rsidRPr="00113816">
        <w:rPr>
          <w:rFonts w:hint="eastAsia"/>
        </w:rPr>
        <w:t>-</w:t>
      </w:r>
      <w:r w:rsidR="007A610C" w:rsidRPr="00113816">
        <w:t>19.</w:t>
      </w:r>
    </w:p>
    <w:p w14:paraId="76E45F23" w14:textId="77777777" w:rsidR="001C1E98" w:rsidRPr="00113816" w:rsidRDefault="001C1E98" w:rsidP="001C1E98"/>
    <w:p w14:paraId="72C89F00" w14:textId="77777777" w:rsidR="00785D9E" w:rsidRPr="00113816" w:rsidRDefault="00785D9E" w:rsidP="00785D9E">
      <w:pPr>
        <w:rPr>
          <w:b/>
          <w:bCs/>
        </w:rPr>
      </w:pPr>
      <w:r w:rsidRPr="00113816">
        <w:rPr>
          <w:b/>
          <w:bCs/>
        </w:rPr>
        <w:t>Detrended Fluctuation Analysis (DFA)</w:t>
      </w:r>
    </w:p>
    <w:p w14:paraId="1588C574" w14:textId="77777777" w:rsidR="00785D9E" w:rsidRPr="00113816" w:rsidRDefault="00785D9E" w:rsidP="00785D9E">
      <w:r w:rsidRPr="00113816">
        <w:t>DFA was used to evaluate long-range temporal correlations in EEG signals. The cumulative signal is first constructed:</w:t>
      </w:r>
    </w:p>
    <w:p w14:paraId="3B0BAFC2" w14:textId="644D517B" w:rsidR="00785D9E" w:rsidRPr="00113816" w:rsidRDefault="00785D9E" w:rsidP="00785D9E">
      <m:oMathPara>
        <m:oMath>
          <m:r>
            <w:rPr>
              <w:rFonts w:ascii="Cambria Math" w:hAnsi="Cambria Math"/>
            </w:rPr>
            <m:t>y(k)=</m:t>
          </m:r>
          <m:nary>
            <m:naryPr>
              <m:chr m:val="∑"/>
              <m:limLoc m:val="undOvr"/>
              <m:grow m:val="1"/>
              <m:ctrlPr>
                <w:rPr>
                  <w:rFonts w:ascii="Cambria Math" w:hAnsi="Cambria Math"/>
                </w:rPr>
              </m:ctrlPr>
            </m:naryPr>
            <m:sub>
              <m:r>
                <w:rPr>
                  <w:rFonts w:ascii="Cambria Math" w:hAnsi="Cambria Math"/>
                </w:rPr>
                <m:t>i=1</m:t>
              </m:r>
            </m:sub>
            <m:sup>
              <m:r>
                <w:rPr>
                  <w:rFonts w:ascii="Cambria Math" w:hAnsi="Cambria Math"/>
                </w:rPr>
                <m:t>k</m:t>
              </m:r>
            </m:sup>
            <m:e>
              <m:r>
                <w:rPr>
                  <w:rFonts w:ascii="Cambria Math" w:hAnsi="Cambria Math"/>
                </w:rPr>
                <m:t>[x(i)-⟨S⟩]</m:t>
              </m:r>
            </m:e>
          </m:nary>
        </m:oMath>
      </m:oMathPara>
    </w:p>
    <w:p w14:paraId="4A627D4B" w14:textId="362BC862" w:rsidR="00785D9E" w:rsidRPr="00113816" w:rsidRDefault="00785D9E" w:rsidP="00785D9E">
      <w:r w:rsidRPr="00113816">
        <w:t xml:space="preserve">where </w:t>
      </w:r>
      <m:oMath>
        <m:d>
          <m:dPr>
            <m:begChr m:val="⟨"/>
            <m:endChr m:val="⟩"/>
            <m:ctrlPr>
              <w:rPr>
                <w:rFonts w:ascii="Cambria Math" w:hAnsi="Cambria Math"/>
                <w:i/>
              </w:rPr>
            </m:ctrlPr>
          </m:dPr>
          <m:e>
            <m:r>
              <w:rPr>
                <w:rFonts w:ascii="Cambria Math" w:hAnsi="Cambria Math"/>
              </w:rPr>
              <m:t>S</m:t>
            </m:r>
          </m:e>
        </m:d>
        <m:r>
          <w:rPr>
            <w:rFonts w:ascii="Cambria Math" w:hAnsi="Cambria Math"/>
          </w:rPr>
          <m:t xml:space="preserve"> </m:t>
        </m:r>
      </m:oMath>
      <w:r w:rsidRPr="00113816">
        <w:t>represents the mean of the time series.</w:t>
      </w:r>
    </w:p>
    <w:p w14:paraId="3F6D7B97" w14:textId="48B3271A" w:rsidR="00785D9E" w:rsidRPr="00113816" w:rsidRDefault="00785D9E" w:rsidP="00785D9E">
      <w:r w:rsidRPr="00113816">
        <w:t xml:space="preserve">The root </w:t>
      </w:r>
      <w:proofErr w:type="gramStart"/>
      <w:r w:rsidRPr="00113816">
        <w:t>mean</w:t>
      </w:r>
      <w:proofErr w:type="gramEnd"/>
      <w:r w:rsidRPr="00113816">
        <w:t xml:space="preserve"> square fluctuation for window size </w:t>
      </w:r>
      <m:oMath>
        <m:r>
          <w:rPr>
            <w:rFonts w:ascii="Cambria Math" w:hAnsi="Cambria Math"/>
          </w:rPr>
          <m:t xml:space="preserve">n </m:t>
        </m:r>
      </m:oMath>
      <w:r w:rsidRPr="00113816">
        <w:t>is then calculated as:</w:t>
      </w:r>
    </w:p>
    <w:p w14:paraId="662B256C" w14:textId="1BEFDF92" w:rsidR="00785D9E" w:rsidRPr="00113816" w:rsidRDefault="00785D9E" w:rsidP="00785D9E">
      <m:oMathPara>
        <m:oMath>
          <m:r>
            <w:rPr>
              <w:rFonts w:ascii="Cambria Math" w:hAnsi="Cambria Math"/>
            </w:rPr>
            <m:t>F(n)=</m:t>
          </m:r>
          <m:rad>
            <m:radPr>
              <m:degHide m:val="1"/>
              <m:ctrlPr>
                <w:rPr>
                  <w:rFonts w:ascii="Cambria Math" w:hAnsi="Cambria Math"/>
                </w:rPr>
              </m:ctrlPr>
            </m:radPr>
            <m:deg/>
            <m:e>
              <m:f>
                <m:fPr>
                  <m:ctrlPr>
                    <w:rPr>
                      <w:rFonts w:ascii="Cambria Math" w:hAnsi="Cambria Math"/>
                    </w:rPr>
                  </m:ctrlPr>
                </m:fPr>
                <m:num>
                  <m:r>
                    <w:rPr>
                      <w:rFonts w:ascii="Cambria Math" w:hAnsi="Cambria Math"/>
                    </w:rPr>
                    <m:t>1</m:t>
                  </m:r>
                </m:num>
                <m:den>
                  <m:r>
                    <w:rPr>
                      <w:rFonts w:ascii="Cambria Math" w:hAnsi="Cambria Math"/>
                    </w:rPr>
                    <m:t>N</m:t>
                  </m:r>
                </m:den>
              </m:f>
              <m:nary>
                <m:naryPr>
                  <m:chr m:val="∑"/>
                  <m:limLoc m:val="undOvr"/>
                  <m:grow m:val="1"/>
                  <m:ctrlPr>
                    <w:rPr>
                      <w:rFonts w:ascii="Cambria Math" w:hAnsi="Cambria Math"/>
                    </w:rPr>
                  </m:ctrlPr>
                </m:naryPr>
                <m:sub>
                  <m:r>
                    <w:rPr>
                      <w:rFonts w:ascii="Cambria Math" w:hAnsi="Cambria Math"/>
                    </w:rPr>
                    <m:t>k=1</m:t>
                  </m:r>
                </m:sub>
                <m:sup>
                  <m:r>
                    <w:rPr>
                      <w:rFonts w:ascii="Cambria Math" w:hAnsi="Cambria Math"/>
                    </w:rPr>
                    <m:t>N</m:t>
                  </m:r>
                </m:sup>
                <m:e>
                  <m:r>
                    <w:rPr>
                      <w:rFonts w:ascii="Cambria Math" w:hAnsi="Cambria Math"/>
                    </w:rPr>
                    <m:t>[y(k)-</m:t>
                  </m:r>
                </m:e>
              </m:nary>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(k)</m:t>
              </m:r>
              <m:sSup>
                <m:sSupPr>
                  <m:ctrlPr>
                    <w:rPr>
                      <w:rFonts w:ascii="Cambria Math" w:hAnsi="Cambria Math"/>
                    </w:rPr>
                  </m:ctrlPr>
                </m:sSupPr>
                <m:e>
                  <m:r>
                    <w:rPr>
                      <w:rFonts w:ascii="Cambria Math" w:hAnsi="Cambria Math"/>
                    </w:rPr>
                    <m:t>]</m:t>
                  </m:r>
                </m:e>
                <m:sup>
                  <m:r>
                    <w:rPr>
                      <w:rFonts w:ascii="Cambria Math" w:hAnsi="Cambria Math"/>
                    </w:rPr>
                    <m:t>2</m:t>
                  </m:r>
                </m:sup>
              </m:sSup>
            </m:e>
          </m:rad>
        </m:oMath>
      </m:oMathPara>
    </w:p>
    <w:p w14:paraId="20478AB6" w14:textId="4F70890C" w:rsidR="00785D9E" w:rsidRPr="00113816" w:rsidRDefault="00785D9E" w:rsidP="00785D9E">
      <w:r w:rsidRPr="00113816">
        <w:t xml:space="preserve">The DFA scaling exponent </w:t>
      </w:r>
      <m:oMath>
        <m:r>
          <w:rPr>
            <w:rFonts w:ascii="Cambria Math" w:hAnsi="Cambria Math"/>
          </w:rPr>
          <m:t xml:space="preserve">α </m:t>
        </m:r>
      </m:oMath>
      <w:r w:rsidRPr="00113816">
        <w:t>is obtained from the relationship:</w:t>
      </w:r>
    </w:p>
    <w:p w14:paraId="73A11FDC" w14:textId="534DC414" w:rsidR="00785D9E" w:rsidRPr="00113816" w:rsidRDefault="00785D9E" w:rsidP="00785D9E">
      <m:oMathPara>
        <m:oMath>
          <m:r>
            <w:rPr>
              <w:rFonts w:ascii="Cambria Math" w:hAnsi="Cambria Math"/>
            </w:rPr>
            <m:t>α=</m:t>
          </m:r>
          <m:f>
            <m:fPr>
              <m:ctrlPr>
                <w:rPr>
                  <w:rFonts w:ascii="Cambria Math" w:hAnsi="Cambria Math"/>
                </w:rPr>
              </m:ctrlPr>
            </m:fPr>
            <m:num>
              <m:r>
                <m:rPr>
                  <m:sty m:val="p"/>
                </m:rPr>
                <w:rPr>
                  <w:rFonts w:ascii="Cambria Math" w:hAnsi="Cambria Math"/>
                </w:rPr>
                <m:t>log</m:t>
              </m:r>
              <m:r>
                <w:rPr>
                  <w:rFonts w:ascii="Cambria Math" w:hAnsi="Cambria Math"/>
                </w:rPr>
                <m:t>⁡(F(n))</m:t>
              </m:r>
            </m:num>
            <m:den>
              <m:r>
                <m:rPr>
                  <m:sty m:val="p"/>
                </m:rPr>
                <w:rPr>
                  <w:rFonts w:ascii="Cambria Math" w:hAnsi="Cambria Math"/>
                </w:rPr>
                <m:t>log</m:t>
              </m:r>
              <m:r>
                <w:rPr>
                  <w:rFonts w:ascii="Cambria Math" w:hAnsi="Cambria Math"/>
                </w:rPr>
                <m:t>⁡(n)</m:t>
              </m:r>
            </m:den>
          </m:f>
        </m:oMath>
      </m:oMathPara>
    </w:p>
    <w:p w14:paraId="2CC80310" w14:textId="5F2E3155" w:rsidR="00785D9E" w:rsidRPr="00113816" w:rsidRDefault="00785D9E" w:rsidP="00785D9E">
      <w:r w:rsidRPr="00113816">
        <w:t>This exponent characterizes the degree of long-range correlation in the signal.</w:t>
      </w:r>
      <w:r w:rsidR="00FF3ED3" w:rsidRPr="00113816">
        <w:rPr>
          <w:rFonts w:hint="eastAsia"/>
        </w:rPr>
        <w:t xml:space="preserve"> </w:t>
      </w:r>
      <w:r w:rsidR="007A610C" w:rsidRPr="00113816">
        <w:rPr>
          <w:rFonts w:hint="eastAsia"/>
        </w:rPr>
        <w:t xml:space="preserve">The </w:t>
      </w:r>
      <w:r w:rsidR="007A610C" w:rsidRPr="00113816">
        <w:t>DFA was used to quantify long-range temporal correlations in EEG signals. The box sizes ranged from 4 to 0.1 × N with a scaling factor of 1.2. Linear detrending (order = 1) was applied when estimating the fluctuation function.</w:t>
      </w:r>
    </w:p>
    <w:p w14:paraId="6C310B74" w14:textId="77777777" w:rsidR="007A610C" w:rsidRPr="00113816" w:rsidRDefault="007A610C" w:rsidP="00785D9E"/>
    <w:p w14:paraId="102A4100" w14:textId="77777777" w:rsidR="00785D9E" w:rsidRPr="00113816" w:rsidRDefault="00785D9E" w:rsidP="00785D9E">
      <w:pPr>
        <w:rPr>
          <w:b/>
          <w:bCs/>
        </w:rPr>
      </w:pPr>
      <w:r w:rsidRPr="00113816">
        <w:rPr>
          <w:b/>
          <w:bCs/>
        </w:rPr>
        <w:lastRenderedPageBreak/>
        <w:t>Approximate Entropy (</w:t>
      </w:r>
      <w:proofErr w:type="spellStart"/>
      <w:r w:rsidRPr="00113816">
        <w:rPr>
          <w:b/>
          <w:bCs/>
        </w:rPr>
        <w:t>ApEn</w:t>
      </w:r>
      <w:proofErr w:type="spellEnd"/>
      <w:r w:rsidRPr="00113816">
        <w:rPr>
          <w:b/>
          <w:bCs/>
        </w:rPr>
        <w:t>)</w:t>
      </w:r>
    </w:p>
    <w:p w14:paraId="400C5BB7" w14:textId="3F37CC1D" w:rsidR="00785D9E" w:rsidRPr="00113816" w:rsidRDefault="00785D9E" w:rsidP="00785D9E">
      <w:r w:rsidRPr="00113816">
        <w:t xml:space="preserve">Approximate entropy quantifies the regularity and unpredictability of time-series data. For embedding dimension </w:t>
      </w:r>
      <m:oMath>
        <m:r>
          <w:rPr>
            <w:rFonts w:ascii="Cambria Math" w:hAnsi="Cambria Math"/>
          </w:rPr>
          <m:t>m</m:t>
        </m:r>
      </m:oMath>
      <w:r w:rsidR="00844C57" w:rsidRPr="00113816">
        <w:t xml:space="preserve"> </w:t>
      </w:r>
      <w:r w:rsidRPr="00113816">
        <w:t xml:space="preserve">and tolerance </w:t>
      </w:r>
      <m:oMath>
        <m:r>
          <w:rPr>
            <w:rFonts w:ascii="Cambria Math" w:hAnsi="Cambria Math"/>
          </w:rPr>
          <m:t>r</m:t>
        </m:r>
      </m:oMath>
      <w:r w:rsidRPr="00113816">
        <w:t xml:space="preserve">, vectors of length </w:t>
      </w:r>
      <m:oMath>
        <m:r>
          <w:rPr>
            <w:rFonts w:ascii="Cambria Math" w:hAnsi="Cambria Math"/>
          </w:rPr>
          <m:t xml:space="preserve">m </m:t>
        </m:r>
      </m:oMath>
      <w:r w:rsidRPr="00113816">
        <w:t>are defined as:</w:t>
      </w:r>
    </w:p>
    <w:p w14:paraId="35275698" w14:textId="0EB5F920" w:rsidR="00785D9E" w:rsidRPr="00113816" w:rsidRDefault="008C4220" w:rsidP="00785D9E">
      <m:oMathPara>
        <m:oMath>
          <m:sSup>
            <m:sSupPr>
              <m:ctrlPr>
                <w:rPr>
                  <w:rFonts w:ascii="Cambria Math" w:hAnsi="Cambria Math"/>
                </w:rPr>
              </m:ctrlPr>
            </m:sSupPr>
            <m:e>
              <m:r>
                <w:rPr>
                  <w:rFonts w:ascii="Cambria Math" w:hAnsi="Cambria Math"/>
                </w:rPr>
                <m:t>x</m:t>
              </m:r>
            </m:e>
            <m:sup>
              <m:r>
                <w:rPr>
                  <w:rFonts w:ascii="Cambria Math" w:hAnsi="Cambria Math"/>
                </w:rPr>
                <m:t>*</m:t>
              </m:r>
            </m:sup>
          </m:sSup>
          <m:r>
            <w:rPr>
              <w:rFonts w:ascii="Cambria Math" w:hAnsi="Cambria Math"/>
            </w:rPr>
            <m:t>(i)=[x(i),x(i+1),</m:t>
          </m:r>
          <m:r>
            <m:rPr>
              <m:sty m:val="p"/>
            </m:rPr>
            <w:rPr>
              <w:rFonts w:ascii="Cambria Math" w:hAnsi="Cambria Math"/>
            </w:rPr>
            <m:t>...</m:t>
          </m:r>
          <m:r>
            <w:rPr>
              <w:rFonts w:ascii="Cambria Math" w:hAnsi="Cambria Math"/>
            </w:rPr>
            <m:t>,x(i+m-1)]</m:t>
          </m:r>
        </m:oMath>
      </m:oMathPara>
    </w:p>
    <w:p w14:paraId="4131DA43" w14:textId="27F688AA" w:rsidR="00785D9E" w:rsidRPr="00113816" w:rsidRDefault="00785D9E" w:rsidP="00785D9E">
      <w:r w:rsidRPr="00113816">
        <w:t xml:space="preserve">The similarity probability </w:t>
      </w:r>
      <m:oMath>
        <m:sSubSup>
          <m:sSubSupPr>
            <m:ctrlPr>
              <w:rPr>
                <w:rFonts w:ascii="Cambria Math" w:hAnsi="Cambria Math"/>
              </w:rPr>
            </m:ctrlPr>
          </m:sSubSupPr>
          <m:e>
            <m:r>
              <w:rPr>
                <w:rFonts w:ascii="Cambria Math" w:hAnsi="Cambria Math"/>
              </w:rPr>
              <m:t>C</m:t>
            </m:r>
          </m:e>
          <m:sub>
            <m:r>
              <w:rPr>
                <w:rFonts w:ascii="Cambria Math" w:hAnsi="Cambria Math"/>
              </w:rPr>
              <m:t>i</m:t>
            </m:r>
          </m:sub>
          <m:sup>
            <m:r>
              <w:rPr>
                <w:rFonts w:ascii="Cambria Math" w:hAnsi="Cambria Math"/>
              </w:rPr>
              <m:t>m</m:t>
            </m:r>
          </m:sup>
        </m:sSubSup>
        <m:r>
          <w:rPr>
            <w:rFonts w:ascii="Cambria Math" w:hAnsi="Cambria Math"/>
          </w:rPr>
          <m:t>(r)</m:t>
        </m:r>
      </m:oMath>
      <w:r w:rsidRPr="00113816">
        <w:t>is computed as:</w:t>
      </w:r>
    </w:p>
    <w:p w14:paraId="308F1C66" w14:textId="7622EB68" w:rsidR="00785D9E" w:rsidRPr="00113816" w:rsidRDefault="008C4220" w:rsidP="00785D9E">
      <m:oMathPara>
        <m:oMath>
          <m:sSubSup>
            <m:sSubSupPr>
              <m:ctrlPr>
                <w:rPr>
                  <w:rFonts w:ascii="Cambria Math" w:hAnsi="Cambria Math"/>
                </w:rPr>
              </m:ctrlPr>
            </m:sSubSupPr>
            <m:e>
              <m:r>
                <w:rPr>
                  <w:rFonts w:ascii="Cambria Math" w:hAnsi="Cambria Math"/>
                </w:rPr>
                <m:t>C</m:t>
              </m:r>
            </m:e>
            <m:sub>
              <m:r>
                <w:rPr>
                  <w:rFonts w:ascii="Cambria Math" w:hAnsi="Cambria Math"/>
                </w:rPr>
                <m:t>i</m:t>
              </m:r>
            </m:sub>
            <m:sup>
              <m:r>
                <w:rPr>
                  <w:rFonts w:ascii="Cambria Math" w:hAnsi="Cambria Math"/>
                </w:rPr>
                <m:t>m</m:t>
              </m:r>
            </m:sup>
          </m:sSubSup>
          <m:r>
            <w:rPr>
              <w:rFonts w:ascii="Cambria Math" w:hAnsi="Cambria Math"/>
            </w:rPr>
            <m:t>(r)=</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j=1</m:t>
                  </m:r>
                </m:sub>
                <m:sup>
                  <m:r>
                    <w:rPr>
                      <w:rFonts w:ascii="Cambria Math" w:hAnsi="Cambria Math"/>
                    </w:rPr>
                    <m:t>N-m+1</m:t>
                  </m:r>
                </m:sup>
                <m:e>
                  <m:r>
                    <w:rPr>
                      <w:rFonts w:ascii="Cambria Math" w:hAnsi="Cambria Math"/>
                    </w:rPr>
                    <m:t>θ(r-</m:t>
                  </m:r>
                  <m:r>
                    <m:rPr>
                      <m:sty m:val="p"/>
                    </m:rPr>
                    <w:rPr>
                      <w:rFonts w:ascii="Cambria Math" w:hAnsi="Cambria Math"/>
                    </w:rPr>
                    <m:t>∣</m:t>
                  </m:r>
                </m:e>
              </m:nary>
              <m:sSup>
                <m:sSupPr>
                  <m:ctrlPr>
                    <w:rPr>
                      <w:rFonts w:ascii="Cambria Math" w:hAnsi="Cambria Math"/>
                    </w:rPr>
                  </m:ctrlPr>
                </m:sSupPr>
                <m:e>
                  <m:r>
                    <w:rPr>
                      <w:rFonts w:ascii="Cambria Math" w:hAnsi="Cambria Math"/>
                    </w:rPr>
                    <m:t>x</m:t>
                  </m:r>
                </m:e>
                <m:sup>
                  <m:r>
                    <w:rPr>
                      <w:rFonts w:ascii="Cambria Math" w:hAnsi="Cambria Math"/>
                    </w:rPr>
                    <m:t>*</m:t>
                  </m:r>
                </m:sup>
              </m:sSup>
              <m:r>
                <w:rPr>
                  <w:rFonts w:ascii="Cambria Math" w:hAnsi="Cambria Math"/>
                </w:rPr>
                <m:t>(i)-</m:t>
              </m:r>
              <m:sSup>
                <m:sSupPr>
                  <m:ctrlPr>
                    <w:rPr>
                      <w:rFonts w:ascii="Cambria Math" w:hAnsi="Cambria Math"/>
                    </w:rPr>
                  </m:ctrlPr>
                </m:sSupPr>
                <m:e>
                  <m:r>
                    <w:rPr>
                      <w:rFonts w:ascii="Cambria Math" w:hAnsi="Cambria Math"/>
                    </w:rPr>
                    <m:t>x</m:t>
                  </m:r>
                </m:e>
                <m:sup>
                  <m:r>
                    <w:rPr>
                      <w:rFonts w:ascii="Cambria Math" w:hAnsi="Cambria Math"/>
                    </w:rPr>
                    <m:t>*</m:t>
                  </m:r>
                </m:sup>
              </m:sSup>
              <m:r>
                <w:rPr>
                  <w:rFonts w:ascii="Cambria Math" w:hAnsi="Cambria Math"/>
                </w:rPr>
                <m:t>(j)</m:t>
              </m:r>
              <m:r>
                <m:rPr>
                  <m:sty m:val="p"/>
                </m:rPr>
                <w:rPr>
                  <w:rFonts w:ascii="Cambria Math" w:hAnsi="Cambria Math"/>
                </w:rPr>
                <m:t>∣</m:t>
              </m:r>
              <m:r>
                <w:rPr>
                  <w:rFonts w:ascii="Cambria Math" w:hAnsi="Cambria Math"/>
                </w:rPr>
                <m:t>)</m:t>
              </m:r>
            </m:num>
            <m:den>
              <m:r>
                <w:rPr>
                  <w:rFonts w:ascii="Cambria Math" w:hAnsi="Cambria Math"/>
                </w:rPr>
                <m:t>N-m+1</m:t>
              </m:r>
            </m:den>
          </m:f>
        </m:oMath>
      </m:oMathPara>
    </w:p>
    <w:p w14:paraId="7D4149A5" w14:textId="77777777" w:rsidR="00785D9E" w:rsidRPr="00113816" w:rsidRDefault="00785D9E" w:rsidP="00785D9E">
      <w:r w:rsidRPr="00113816">
        <w:t>The approximate entropy is then defined as:</w:t>
      </w:r>
    </w:p>
    <w:p w14:paraId="4CB341EA" w14:textId="5E6FB854" w:rsidR="00785D9E" w:rsidRPr="00113816" w:rsidRDefault="00785D9E" w:rsidP="00785D9E">
      <m:oMathPara>
        <m:oMath>
          <m:r>
            <w:rPr>
              <w:rFonts w:ascii="Cambria Math" w:hAnsi="Cambria Math"/>
            </w:rPr>
            <m:t>ApEn=</m:t>
          </m:r>
          <m:sSup>
            <m:sSupPr>
              <m:ctrlPr>
                <w:rPr>
                  <w:rFonts w:ascii="Cambria Math" w:hAnsi="Cambria Math"/>
                </w:rPr>
              </m:ctrlPr>
            </m:sSupPr>
            <m:e>
              <m:r>
                <w:rPr>
                  <w:rFonts w:ascii="Cambria Math" w:hAnsi="Cambria Math"/>
                </w:rPr>
                <m:t>ϕ</m:t>
              </m:r>
            </m:e>
            <m:sup>
              <m:r>
                <w:rPr>
                  <w:rFonts w:ascii="Cambria Math" w:hAnsi="Cambria Math"/>
                </w:rPr>
                <m:t>m</m:t>
              </m:r>
            </m:sup>
          </m:sSup>
          <m:r>
            <w:rPr>
              <w:rFonts w:ascii="Cambria Math" w:hAnsi="Cambria Math"/>
            </w:rPr>
            <m:t>(r)-</m:t>
          </m:r>
          <m:sSup>
            <m:sSupPr>
              <m:ctrlPr>
                <w:rPr>
                  <w:rFonts w:ascii="Cambria Math" w:hAnsi="Cambria Math"/>
                </w:rPr>
              </m:ctrlPr>
            </m:sSupPr>
            <m:e>
              <m:r>
                <w:rPr>
                  <w:rFonts w:ascii="Cambria Math" w:hAnsi="Cambria Math"/>
                </w:rPr>
                <m:t>ϕ</m:t>
              </m:r>
            </m:e>
            <m:sup>
              <m:r>
                <w:rPr>
                  <w:rFonts w:ascii="Cambria Math" w:hAnsi="Cambria Math"/>
                </w:rPr>
                <m:t>m+1</m:t>
              </m:r>
            </m:sup>
          </m:sSup>
          <m:r>
            <w:rPr>
              <w:rFonts w:ascii="Cambria Math" w:hAnsi="Cambria Math"/>
            </w:rPr>
            <m:t>(r)</m:t>
          </m:r>
        </m:oMath>
      </m:oMathPara>
    </w:p>
    <w:p w14:paraId="2756D6EB" w14:textId="2A67EFB0" w:rsidR="007A610C" w:rsidRPr="00113816" w:rsidRDefault="00785D9E" w:rsidP="00785D9E">
      <w:r w:rsidRPr="00113816">
        <w:t xml:space="preserve">where </w:t>
      </w:r>
      <m:oMath>
        <m:sSup>
          <m:sSupPr>
            <m:ctrlPr>
              <w:rPr>
                <w:rFonts w:ascii="Cambria Math" w:hAnsi="Cambria Math"/>
              </w:rPr>
            </m:ctrlPr>
          </m:sSupPr>
          <m:e>
            <m:r>
              <w:rPr>
                <w:rFonts w:ascii="Cambria Math" w:hAnsi="Cambria Math"/>
              </w:rPr>
              <m:t>ϕ</m:t>
            </m:r>
          </m:e>
          <m:sup>
            <m:r>
              <w:rPr>
                <w:rFonts w:ascii="Cambria Math" w:hAnsi="Cambria Math"/>
              </w:rPr>
              <m:t>m</m:t>
            </m:r>
          </m:sup>
        </m:sSup>
        <m:r>
          <w:rPr>
            <w:rFonts w:ascii="Cambria Math" w:hAnsi="Cambria Math"/>
          </w:rPr>
          <m:t>(r)</m:t>
        </m:r>
      </m:oMath>
      <w:r w:rsidRPr="00113816">
        <w:t xml:space="preserve">represents the logarithmic average of </w:t>
      </w:r>
      <m:oMath>
        <m:sSubSup>
          <m:sSubSupPr>
            <m:ctrlPr>
              <w:rPr>
                <w:rFonts w:ascii="Cambria Math" w:hAnsi="Cambria Math"/>
              </w:rPr>
            </m:ctrlPr>
          </m:sSubSupPr>
          <m:e>
            <m:r>
              <w:rPr>
                <w:rFonts w:ascii="Cambria Math" w:hAnsi="Cambria Math"/>
              </w:rPr>
              <m:t>C</m:t>
            </m:r>
          </m:e>
          <m:sub>
            <m:r>
              <w:rPr>
                <w:rFonts w:ascii="Cambria Math" w:hAnsi="Cambria Math"/>
              </w:rPr>
              <m:t>i</m:t>
            </m:r>
          </m:sub>
          <m:sup>
            <m:r>
              <w:rPr>
                <w:rFonts w:ascii="Cambria Math" w:hAnsi="Cambria Math"/>
              </w:rPr>
              <m:t>m</m:t>
            </m:r>
          </m:sup>
        </m:sSubSup>
        <m:r>
          <w:rPr>
            <w:rFonts w:ascii="Cambria Math" w:hAnsi="Cambria Math"/>
          </w:rPr>
          <m:t>(r)</m:t>
        </m:r>
      </m:oMath>
      <w:r w:rsidRPr="00113816">
        <w:t>. Larger ApEn values indicate greater signal irregularity.</w:t>
      </w:r>
      <w:r w:rsidR="00844C57" w:rsidRPr="00113816">
        <w:rPr>
          <w:rFonts w:hint="eastAsia"/>
        </w:rPr>
        <w:t xml:space="preserve"> </w:t>
      </w:r>
      <w:r w:rsidR="007A610C" w:rsidRPr="00113816">
        <w:rPr>
          <w:rFonts w:hint="eastAsia"/>
        </w:rPr>
        <w:t xml:space="preserve">The </w:t>
      </w:r>
      <w:proofErr w:type="spellStart"/>
      <w:r w:rsidR="007A610C" w:rsidRPr="00113816">
        <w:t>ApEn</w:t>
      </w:r>
      <w:proofErr w:type="spellEnd"/>
      <w:r w:rsidR="007A610C" w:rsidRPr="00113816">
        <w:t xml:space="preserve"> was computed to quantify signal regularity. The embedding dimension was set to </w:t>
      </w:r>
      <m:oMath>
        <m:r>
          <w:rPr>
            <w:rFonts w:ascii="Cambria Math" w:hAnsi="Cambria Math"/>
          </w:rPr>
          <m:t>m</m:t>
        </m:r>
      </m:oMath>
      <w:r w:rsidR="007A610C" w:rsidRPr="00113816">
        <w:t xml:space="preserve"> = 2, and the tolerance threshold was defined as </w:t>
      </w:r>
      <m:oMath>
        <m:r>
          <w:rPr>
            <w:rFonts w:ascii="Cambria Math" w:hAnsi="Cambria Math"/>
          </w:rPr>
          <m:t>r=0.2×SD</m:t>
        </m:r>
      </m:oMath>
      <w:r w:rsidR="007A610C" w:rsidRPr="00113816">
        <w:t>, where SD denotes the standard deviation of the signal. The Chebyshev distance metric was used to evaluate vector similarity.</w:t>
      </w:r>
    </w:p>
    <w:p w14:paraId="29F7BFE1" w14:textId="78ED638A" w:rsidR="00785D9E" w:rsidRPr="00113816" w:rsidRDefault="00785D9E" w:rsidP="00785D9E"/>
    <w:p w14:paraId="2088F6D4" w14:textId="77777777" w:rsidR="00785D9E" w:rsidRPr="00113816" w:rsidRDefault="00785D9E" w:rsidP="00785D9E">
      <w:pPr>
        <w:rPr>
          <w:b/>
          <w:bCs/>
        </w:rPr>
      </w:pPr>
      <w:r w:rsidRPr="00113816">
        <w:rPr>
          <w:b/>
          <w:bCs/>
        </w:rPr>
        <w:t>Fractal Dimension</w:t>
      </w:r>
    </w:p>
    <w:p w14:paraId="4171DF8F" w14:textId="77777777" w:rsidR="00785D9E" w:rsidRPr="00113816" w:rsidRDefault="00785D9E" w:rsidP="00785D9E">
      <w:r w:rsidRPr="00113816">
        <w:t>Fractal dimension (FD) measures signal complexity and self-similarity. Two methods were used:</w:t>
      </w:r>
    </w:p>
    <w:p w14:paraId="489A41CC" w14:textId="77777777" w:rsidR="00785D9E" w:rsidRPr="00113816" w:rsidRDefault="00785D9E" w:rsidP="00785D9E">
      <w:pPr>
        <w:rPr>
          <w:b/>
          <w:bCs/>
        </w:rPr>
      </w:pPr>
      <w:r w:rsidRPr="00113816">
        <w:rPr>
          <w:b/>
          <w:bCs/>
        </w:rPr>
        <w:t>Katz Fractal Dimension (KFD)</w:t>
      </w:r>
    </w:p>
    <w:p w14:paraId="60DB0892" w14:textId="77777777" w:rsidR="00785D9E" w:rsidRPr="00113816" w:rsidRDefault="00785D9E" w:rsidP="00785D9E">
      <w:r w:rsidRPr="00113816">
        <w:t>KFD estimates signal complexity based on waveform geometry:</w:t>
      </w:r>
    </w:p>
    <w:p w14:paraId="4DE4C498" w14:textId="6B7CE211" w:rsidR="00785D9E" w:rsidRPr="00113816" w:rsidRDefault="00785D9E" w:rsidP="00785D9E">
      <m:oMathPara>
        <m:oMath>
          <m:r>
            <w:rPr>
              <w:rFonts w:ascii="Cambria Math" w:hAnsi="Cambria Math"/>
            </w:rPr>
            <w:lastRenderedPageBreak/>
            <m:t>KFD=</m:t>
          </m:r>
          <m:f>
            <m:fPr>
              <m:ctrlPr>
                <w:rPr>
                  <w:rFonts w:ascii="Cambria Math" w:hAnsi="Cambria Math"/>
                </w:rPr>
              </m:ctrlPr>
            </m:fPr>
            <m:num>
              <m:r>
                <m:rPr>
                  <m:sty m:val="p"/>
                </m:rPr>
                <w:rPr>
                  <w:rFonts w:ascii="Cambria Math" w:hAnsi="Cambria Math"/>
                </w:rPr>
                <m:t>ln</m:t>
              </m:r>
              <m:r>
                <w:rPr>
                  <w:rFonts w:ascii="Cambria Math" w:hAnsi="Cambria Math"/>
                </w:rPr>
                <m:t>⁡(L</m:t>
              </m:r>
              <m:r>
                <m:rPr>
                  <m:sty m:val="p"/>
                </m:rPr>
                <w:rPr>
                  <w:rFonts w:ascii="Cambria Math" w:hAnsi="Cambria Math"/>
                </w:rPr>
                <m:t>/</m:t>
              </m:r>
              <m:r>
                <w:rPr>
                  <w:rFonts w:ascii="Cambria Math" w:hAnsi="Cambria Math"/>
                </w:rPr>
                <m:t>a)</m:t>
              </m:r>
            </m:num>
            <m:den>
              <m:r>
                <m:rPr>
                  <m:sty m:val="p"/>
                </m:rPr>
                <w:rPr>
                  <w:rFonts w:ascii="Cambria Math" w:hAnsi="Cambria Math"/>
                </w:rPr>
                <m:t>ln</m:t>
              </m:r>
              <m:r>
                <w:rPr>
                  <w:rFonts w:ascii="Cambria Math" w:hAnsi="Cambria Math"/>
                </w:rPr>
                <m:t>⁡(d</m:t>
              </m:r>
              <m:r>
                <m:rPr>
                  <m:sty m:val="p"/>
                </m:rPr>
                <w:rPr>
                  <w:rFonts w:ascii="Cambria Math" w:hAnsi="Cambria Math"/>
                </w:rPr>
                <m:t>/</m:t>
              </m:r>
              <m:r>
                <w:rPr>
                  <w:rFonts w:ascii="Cambria Math" w:hAnsi="Cambria Math"/>
                </w:rPr>
                <m:t>a)</m:t>
              </m:r>
            </m:den>
          </m:f>
        </m:oMath>
      </m:oMathPara>
    </w:p>
    <w:p w14:paraId="5C56E936" w14:textId="53553097" w:rsidR="00785D9E" w:rsidRPr="00113816" w:rsidRDefault="00785D9E" w:rsidP="00785D9E">
      <w:r w:rsidRPr="00113816">
        <w:t xml:space="preserve">where </w:t>
      </w:r>
      <m:oMath>
        <m:r>
          <w:rPr>
            <w:rFonts w:ascii="Cambria Math" w:hAnsi="Cambria Math"/>
          </w:rPr>
          <m:t>L</m:t>
        </m:r>
      </m:oMath>
      <w:r w:rsidRPr="00113816">
        <w:t xml:space="preserve">is the total signal length, </w:t>
      </w:r>
      <m:oMath>
        <m:r>
          <w:rPr>
            <w:rFonts w:ascii="Cambria Math" w:hAnsi="Cambria Math"/>
          </w:rPr>
          <m:t>d</m:t>
        </m:r>
      </m:oMath>
      <w:r w:rsidRPr="00113816">
        <w:t xml:space="preserve">is the maximum distance between the first point and any other point, and </w:t>
      </w:r>
      <m:oMath>
        <m:r>
          <w:rPr>
            <w:rFonts w:ascii="Cambria Math" w:hAnsi="Cambria Math"/>
          </w:rPr>
          <m:t>a</m:t>
        </m:r>
      </m:oMath>
      <w:r w:rsidRPr="00113816">
        <w:t>is the average step distance.</w:t>
      </w:r>
      <w:r w:rsidR="001238F6" w:rsidRPr="00113816">
        <w:rPr>
          <w:rFonts w:hint="eastAsia"/>
        </w:rPr>
        <w:t xml:space="preserve"> The </w:t>
      </w:r>
      <w:r w:rsidR="001238F6" w:rsidRPr="00113816">
        <w:t>KFD was computed to characterize waveform complexity based on the geometric properties of the time series. This method does not require additional tunable parameters and was calculated directly from the time-series trajectory.</w:t>
      </w:r>
    </w:p>
    <w:p w14:paraId="5F28ACEF" w14:textId="77777777" w:rsidR="001238F6" w:rsidRPr="00113816" w:rsidRDefault="001238F6" w:rsidP="00785D9E"/>
    <w:p w14:paraId="0D3DAF56" w14:textId="77777777" w:rsidR="00785D9E" w:rsidRPr="00113816" w:rsidRDefault="00785D9E" w:rsidP="00785D9E">
      <w:pPr>
        <w:rPr>
          <w:b/>
          <w:bCs/>
        </w:rPr>
      </w:pPr>
      <w:r w:rsidRPr="00113816">
        <w:rPr>
          <w:b/>
          <w:bCs/>
        </w:rPr>
        <w:t>Higuchi Fractal Dimension (HFD)</w:t>
      </w:r>
    </w:p>
    <w:p w14:paraId="127C2D3E" w14:textId="4298592A" w:rsidR="00785D9E" w:rsidRPr="00113816" w:rsidRDefault="00785D9E" w:rsidP="00785D9E">
      <w:r w:rsidRPr="00113816">
        <w:t xml:space="preserve">HFD evaluates scale-invariant complexity by computing curve lengths at different time intervals </w:t>
      </w:r>
      <m:oMath>
        <m:r>
          <w:rPr>
            <w:rFonts w:ascii="Cambria Math" w:hAnsi="Cambria Math"/>
          </w:rPr>
          <m:t>k</m:t>
        </m:r>
      </m:oMath>
      <w:r w:rsidRPr="00113816">
        <w:t>. The average curve length is defined as:</w:t>
      </w:r>
    </w:p>
    <w:p w14:paraId="40E06370" w14:textId="7C4845DB" w:rsidR="00785D9E" w:rsidRPr="00113816" w:rsidRDefault="00785D9E" w:rsidP="00785D9E">
      <m:oMathPara>
        <m:oMath>
          <m:r>
            <w:rPr>
              <w:rFonts w:ascii="Cambria Math" w:hAnsi="Cambria Math"/>
            </w:rPr>
            <m:t>L(k)=</m:t>
          </m:r>
          <m:f>
            <m:fPr>
              <m:ctrlPr>
                <w:rPr>
                  <w:rFonts w:ascii="Cambria Math" w:hAnsi="Cambria Math"/>
                </w:rPr>
              </m:ctrlPr>
            </m:fPr>
            <m:num>
              <m:r>
                <w:rPr>
                  <w:rFonts w:ascii="Cambria Math" w:hAnsi="Cambria Math"/>
                </w:rPr>
                <m:t>1</m:t>
              </m:r>
            </m:num>
            <m:den>
              <m:r>
                <w:rPr>
                  <w:rFonts w:ascii="Cambria Math" w:hAnsi="Cambria Math"/>
                </w:rPr>
                <m:t>k</m:t>
              </m:r>
            </m:den>
          </m:f>
          <m:nary>
            <m:naryPr>
              <m:chr m:val="∑"/>
              <m:limLoc m:val="undOvr"/>
              <m:grow m:val="1"/>
              <m:ctrlPr>
                <w:rPr>
                  <w:rFonts w:ascii="Cambria Math" w:hAnsi="Cambria Math"/>
                </w:rPr>
              </m:ctrlPr>
            </m:naryPr>
            <m:sub>
              <m:r>
                <w:rPr>
                  <w:rFonts w:ascii="Cambria Math" w:hAnsi="Cambria Math"/>
                </w:rPr>
                <m:t>m=1</m:t>
              </m:r>
            </m:sub>
            <m:sup>
              <m:r>
                <w:rPr>
                  <w:rFonts w:ascii="Cambria Math" w:hAnsi="Cambria Math"/>
                </w:rPr>
                <m:t>k</m:t>
              </m:r>
            </m:sup>
            <m:e>
              <m:sSub>
                <m:sSubPr>
                  <m:ctrlPr>
                    <w:rPr>
                      <w:rFonts w:ascii="Cambria Math" w:hAnsi="Cambria Math"/>
                    </w:rPr>
                  </m:ctrlPr>
                </m:sSubPr>
                <m:e>
                  <m:r>
                    <w:rPr>
                      <w:rFonts w:ascii="Cambria Math" w:hAnsi="Cambria Math"/>
                    </w:rPr>
                    <m:t>L</m:t>
                  </m:r>
                </m:e>
                <m:sub>
                  <m:r>
                    <w:rPr>
                      <w:rFonts w:ascii="Cambria Math" w:hAnsi="Cambria Math"/>
                    </w:rPr>
                    <m:t>m</m:t>
                  </m:r>
                </m:sub>
              </m:sSub>
            </m:e>
          </m:nary>
          <m:r>
            <w:rPr>
              <w:rFonts w:ascii="Cambria Math" w:hAnsi="Cambria Math"/>
            </w:rPr>
            <m:t>(k)</m:t>
          </m:r>
        </m:oMath>
      </m:oMathPara>
    </w:p>
    <w:p w14:paraId="7B539733" w14:textId="77777777" w:rsidR="00785D9E" w:rsidRPr="00113816" w:rsidRDefault="00785D9E" w:rsidP="00785D9E">
      <w:r w:rsidRPr="00113816">
        <w:t>The fractal dimension is obtained from the slope of the relationship:</w:t>
      </w:r>
    </w:p>
    <w:p w14:paraId="50DC85B9" w14:textId="0802D698" w:rsidR="00785D9E" w:rsidRPr="00113816" w:rsidRDefault="00785D9E" w:rsidP="00785D9E">
      <m:oMathPara>
        <m:oMath>
          <m:r>
            <m:rPr>
              <m:sty m:val="p"/>
            </m:rPr>
            <w:rPr>
              <w:rFonts w:ascii="Cambria Math" w:hAnsi="Cambria Math"/>
            </w:rPr>
            <m:t>log</m:t>
          </m:r>
          <m:r>
            <w:rPr>
              <w:rFonts w:ascii="Cambria Math" w:hAnsi="Cambria Math"/>
            </w:rPr>
            <m:t>⁡L(k)∼</m:t>
          </m:r>
          <m:r>
            <m:rPr>
              <m:sty m:val="p"/>
            </m:rPr>
            <w:rPr>
              <w:rFonts w:ascii="Cambria Math" w:hAnsi="Cambria Math"/>
            </w:rPr>
            <m:t>log</m:t>
          </m:r>
          <m:r>
            <w:rPr>
              <w:rFonts w:ascii="Cambria Math" w:hAnsi="Cambria Math"/>
            </w:rPr>
            <m:t>⁡(1</m:t>
          </m:r>
          <m:r>
            <m:rPr>
              <m:sty m:val="p"/>
            </m:rPr>
            <w:rPr>
              <w:rFonts w:ascii="Cambria Math" w:hAnsi="Cambria Math"/>
            </w:rPr>
            <m:t>/</m:t>
          </m:r>
          <m:r>
            <w:rPr>
              <w:rFonts w:ascii="Cambria Math" w:hAnsi="Cambria Math"/>
            </w:rPr>
            <m:t>k)</m:t>
          </m:r>
        </m:oMath>
      </m:oMathPara>
    </w:p>
    <w:p w14:paraId="3702F056" w14:textId="4126D458" w:rsidR="00785D9E" w:rsidRPr="00113816" w:rsidRDefault="00785D9E" w:rsidP="00785D9E">
      <w:r w:rsidRPr="00113816">
        <w:t>Higher HFD values indicate greater signal complexity.</w:t>
      </w:r>
      <w:r w:rsidR="00DB1AD2" w:rsidRPr="00113816">
        <w:rPr>
          <w:rFonts w:hint="eastAsia"/>
        </w:rPr>
        <w:t xml:space="preserve"> </w:t>
      </w:r>
      <w:r w:rsidR="001238F6" w:rsidRPr="00113816">
        <w:rPr>
          <w:rFonts w:hint="eastAsia"/>
        </w:rPr>
        <w:t xml:space="preserve">The </w:t>
      </w:r>
      <w:r w:rsidR="001238F6" w:rsidRPr="00113816">
        <w:t xml:space="preserve">HFD was used to quantify scale-invariant signal complexity. The maximum interval parameter was set to </w:t>
      </w:r>
      <m:oMath>
        <m:sSub>
          <m:sSubPr>
            <m:ctrlPr>
              <w:rPr>
                <w:rFonts w:ascii="Cambria Math" w:hAnsi="Cambria Math"/>
              </w:rPr>
            </m:ctrlPr>
          </m:sSubPr>
          <m:e>
            <m:r>
              <w:rPr>
                <w:rFonts w:ascii="Cambria Math" w:hAnsi="Cambria Math"/>
              </w:rPr>
              <m:t>k</m:t>
            </m:r>
          </m:e>
          <m:sub>
            <m:r>
              <w:rPr>
                <w:rFonts w:ascii="Cambria Math" w:hAnsi="Cambria Math"/>
              </w:rPr>
              <m:t>max</m:t>
            </m:r>
          </m:sub>
        </m:sSub>
        <m:r>
          <w:rPr>
            <w:rFonts w:ascii="Cambria Math" w:hAnsi="Cambria Math"/>
          </w:rPr>
          <m:t>=100</m:t>
        </m:r>
      </m:oMath>
      <w:r w:rsidR="001238F6" w:rsidRPr="00113816">
        <w:t>.</w:t>
      </w:r>
    </w:p>
    <w:p w14:paraId="06CADCD3" w14:textId="6C00E210" w:rsidR="00785D9E" w:rsidRPr="00113816" w:rsidRDefault="00785D9E" w:rsidP="00785D9E"/>
    <w:p w14:paraId="2F864C5E" w14:textId="77777777" w:rsidR="00785D9E" w:rsidRPr="00113816" w:rsidRDefault="00785D9E" w:rsidP="00785D9E">
      <w:pPr>
        <w:rPr>
          <w:b/>
          <w:bCs/>
        </w:rPr>
      </w:pPr>
      <w:r w:rsidRPr="00113816">
        <w:rPr>
          <w:b/>
          <w:bCs/>
        </w:rPr>
        <w:t>Welch Periodogram</w:t>
      </w:r>
    </w:p>
    <w:p w14:paraId="4E2C7116" w14:textId="703219DE" w:rsidR="00785D9E" w:rsidRPr="00113816" w:rsidRDefault="00785D9E" w:rsidP="00785D9E">
      <w:r w:rsidRPr="00113816">
        <w:t xml:space="preserve">Spectral features were computed using the Welch periodogram method to estimate the </w:t>
      </w:r>
      <w:r w:rsidRPr="00113816">
        <w:lastRenderedPageBreak/>
        <w:t>power spectral density (PSD):</w:t>
      </w:r>
      <w:r w:rsidR="00E778F0" w:rsidRPr="00113816">
        <w:rPr>
          <w:rFonts w:hint="eastAsia"/>
        </w:rPr>
        <w:t xml:space="preserve"> </w:t>
      </w:r>
    </w:p>
    <w:p w14:paraId="19FB4903" w14:textId="47E8D021" w:rsidR="00785D9E" w:rsidRPr="00113816" w:rsidRDefault="008C4220" w:rsidP="00785D9E">
      <m:oMathPara>
        <m:oMath>
          <m:sSubSup>
            <m:sSubSupPr>
              <m:ctrlPr>
                <w:rPr>
                  <w:rFonts w:ascii="Cambria Math" w:hAnsi="Cambria Math"/>
                </w:rPr>
              </m:ctrlPr>
            </m:sSubSupPr>
            <m:e>
              <m:r>
                <w:rPr>
                  <w:rFonts w:ascii="Cambria Math" w:hAnsi="Cambria Math"/>
                </w:rPr>
                <m:t>P</m:t>
              </m:r>
            </m:e>
            <m:sub>
              <m:r>
                <w:rPr>
                  <w:rFonts w:ascii="Cambria Math" w:hAnsi="Cambria Math"/>
                </w:rPr>
                <m:t>w</m:t>
              </m:r>
            </m:sub>
            <m:sup>
              <m:r>
                <w:rPr>
                  <w:rFonts w:ascii="Cambria Math" w:hAnsi="Cambria Math"/>
                </w:rPr>
                <m:t>p</m:t>
              </m:r>
            </m:sup>
          </m:sSubSup>
          <m:r>
            <w:rPr>
              <w:rFonts w:ascii="Cambria Math" w:hAnsi="Cambria Math"/>
            </w:rPr>
            <m:t>(f)=</m:t>
          </m:r>
          <m:f>
            <m:fPr>
              <m:ctrlPr>
                <w:rPr>
                  <w:rFonts w:ascii="Cambria Math" w:hAnsi="Cambria Math"/>
                </w:rPr>
              </m:ctrlPr>
            </m:fPr>
            <m:num>
              <m:r>
                <w:rPr>
                  <w:rFonts w:ascii="Cambria Math" w:hAnsi="Cambria Math"/>
                </w:rPr>
                <m:t>1</m:t>
              </m:r>
            </m:num>
            <m:den>
              <m:r>
                <w:rPr>
                  <w:rFonts w:ascii="Cambria Math" w:hAnsi="Cambria Math"/>
                </w:rPr>
                <m:t>P</m:t>
              </m:r>
            </m:den>
          </m:f>
          <m:nary>
            <m:naryPr>
              <m:chr m:val="∑"/>
              <m:limLoc m:val="undOvr"/>
              <m:grow m:val="1"/>
              <m:ctrlPr>
                <w:rPr>
                  <w:rFonts w:ascii="Cambria Math" w:hAnsi="Cambria Math"/>
                </w:rPr>
              </m:ctrlPr>
            </m:naryPr>
            <m:sub>
              <m:r>
                <w:rPr>
                  <w:rFonts w:ascii="Cambria Math" w:hAnsi="Cambria Math"/>
                </w:rPr>
                <m:t>p=0</m:t>
              </m:r>
            </m:sub>
            <m:sup>
              <m:r>
                <w:rPr>
                  <w:rFonts w:ascii="Cambria Math" w:hAnsi="Cambria Math"/>
                </w:rPr>
                <m:t>D-1</m:t>
              </m:r>
            </m:sup>
            <m:e>
              <m:sSup>
                <m:sSupPr>
                  <m:ctrlPr>
                    <w:rPr>
                      <w:rFonts w:ascii="Cambria Math" w:hAnsi="Cambria Math"/>
                    </w:rPr>
                  </m:ctrlPr>
                </m:sSupPr>
                <m:e>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UDT</m:t>
                      </m:r>
                    </m:den>
                  </m:f>
                  <m:nary>
                    <m:naryPr>
                      <m:chr m:val="∑"/>
                      <m:limLoc m:val="undOvr"/>
                      <m:grow m:val="1"/>
                      <m:ctrlPr>
                        <w:rPr>
                          <w:rFonts w:ascii="Cambria Math" w:hAnsi="Cambria Math"/>
                        </w:rPr>
                      </m:ctrlPr>
                    </m:naryPr>
                    <m:sub>
                      <m:r>
                        <w:rPr>
                          <w:rFonts w:ascii="Cambria Math" w:hAnsi="Cambria Math"/>
                        </w:rPr>
                        <m:t>n=0</m:t>
                      </m:r>
                    </m:sub>
                    <m:sup>
                      <m:r>
                        <w:rPr>
                          <w:rFonts w:ascii="Cambria Math" w:hAnsi="Cambria Math"/>
                        </w:rPr>
                        <m:t>D-1</m:t>
                      </m:r>
                    </m:sup>
                    <m:e>
                      <m:r>
                        <w:rPr>
                          <w:rFonts w:ascii="Cambria Math" w:hAnsi="Cambria Math"/>
                        </w:rPr>
                        <m:t>w[n]</m:t>
                      </m:r>
                    </m:e>
                  </m:nary>
                  <m:sSup>
                    <m:sSupPr>
                      <m:ctrlPr>
                        <w:rPr>
                          <w:rFonts w:ascii="Cambria Math" w:hAnsi="Cambria Math"/>
                        </w:rPr>
                      </m:ctrlPr>
                    </m:sSupPr>
                    <m:e>
                      <m:r>
                        <w:rPr>
                          <w:rFonts w:ascii="Cambria Math" w:hAnsi="Cambria Math"/>
                        </w:rPr>
                        <m:t>x</m:t>
                      </m:r>
                    </m:e>
                    <m:sup>
                      <m:r>
                        <w:rPr>
                          <w:rFonts w:ascii="Cambria Math" w:hAnsi="Cambria Math"/>
                        </w:rPr>
                        <m:t>p</m:t>
                      </m:r>
                    </m:sup>
                  </m:sSup>
                  <m:r>
                    <w:rPr>
                      <w:rFonts w:ascii="Cambria Math" w:hAnsi="Cambria Math"/>
                    </w:rPr>
                    <m:t>[n]</m:t>
                  </m:r>
                  <m:sSup>
                    <m:sSupPr>
                      <m:ctrlPr>
                        <w:rPr>
                          <w:rFonts w:ascii="Cambria Math" w:hAnsi="Cambria Math"/>
                        </w:rPr>
                      </m:ctrlPr>
                    </m:sSupPr>
                    <m:e>
                      <m:r>
                        <w:rPr>
                          <w:rFonts w:ascii="Cambria Math" w:hAnsi="Cambria Math"/>
                        </w:rPr>
                        <m:t>e</m:t>
                      </m:r>
                    </m:e>
                    <m:sup>
                      <m:r>
                        <w:rPr>
                          <w:rFonts w:ascii="Cambria Math" w:hAnsi="Cambria Math"/>
                        </w:rPr>
                        <m:t>-j2πfnT</m:t>
                      </m:r>
                    </m:sup>
                  </m:sSup>
                  <m:r>
                    <w:rPr>
                      <w:rFonts w:ascii="Cambria Math" w:hAnsi="Cambria Math"/>
                    </w:rPr>
                    <m:t>∣</m:t>
                  </m:r>
                </m:e>
                <m:sup>
                  <m:r>
                    <w:rPr>
                      <w:rFonts w:ascii="Cambria Math" w:hAnsi="Cambria Math"/>
                    </w:rPr>
                    <m:t>2</m:t>
                  </m:r>
                </m:sup>
              </m:sSup>
            </m:e>
          </m:nary>
        </m:oMath>
      </m:oMathPara>
    </w:p>
    <w:p w14:paraId="582CC0C5" w14:textId="423D9AF6" w:rsidR="00785D9E" w:rsidRPr="00113816" w:rsidRDefault="00785D9E" w:rsidP="00785D9E">
      <w:r w:rsidRPr="00113816">
        <w:t xml:space="preserve">where </w:t>
      </w:r>
      <m:oMath>
        <m:r>
          <w:rPr>
            <w:rFonts w:ascii="Cambria Math" w:hAnsi="Cambria Math"/>
          </w:rPr>
          <m:t>w[n]</m:t>
        </m:r>
      </m:oMath>
      <w:r w:rsidRPr="00113816">
        <w:t xml:space="preserve">represents the window function and </w:t>
      </w:r>
      <m:oMath>
        <m:r>
          <w:rPr>
            <w:rFonts w:ascii="Cambria Math" w:hAnsi="Cambria Math"/>
          </w:rPr>
          <m:t>U</m:t>
        </m:r>
      </m:oMath>
      <w:r w:rsidRPr="00113816">
        <w:t>denotes the window energy:</w:t>
      </w:r>
    </w:p>
    <w:p w14:paraId="47EC26C0" w14:textId="6FEF3C4A" w:rsidR="00785D9E" w:rsidRPr="00113816" w:rsidRDefault="00785D9E" w:rsidP="00785D9E">
      <m:oMathPara>
        <m:oMath>
          <m:r>
            <w:rPr>
              <w:rFonts w:ascii="Cambria Math" w:hAnsi="Cambria Math"/>
            </w:rPr>
            <m:t>U=T</m:t>
          </m:r>
          <m:nary>
            <m:naryPr>
              <m:chr m:val="∑"/>
              <m:limLoc m:val="undOvr"/>
              <m:grow m:val="1"/>
              <m:ctrlPr>
                <w:rPr>
                  <w:rFonts w:ascii="Cambria Math" w:hAnsi="Cambria Math"/>
                </w:rPr>
              </m:ctrlPr>
            </m:naryPr>
            <m:sub>
              <m:r>
                <w:rPr>
                  <w:rFonts w:ascii="Cambria Math" w:hAnsi="Cambria Math"/>
                </w:rPr>
                <m:t>n=0</m:t>
              </m:r>
            </m:sub>
            <m:sup>
              <m:r>
                <w:rPr>
                  <w:rFonts w:ascii="Cambria Math" w:hAnsi="Cambria Math"/>
                </w:rPr>
                <m:t>D-1</m:t>
              </m:r>
            </m:sup>
            <m:e>
              <m:sSup>
                <m:sSupPr>
                  <m:ctrlPr>
                    <w:rPr>
                      <w:rFonts w:ascii="Cambria Math" w:hAnsi="Cambria Math"/>
                    </w:rPr>
                  </m:ctrlPr>
                </m:sSupPr>
                <m:e>
                  <m:r>
                    <w:rPr>
                      <w:rFonts w:ascii="Cambria Math" w:hAnsi="Cambria Math"/>
                    </w:rPr>
                    <m:t>w</m:t>
                  </m:r>
                </m:e>
                <m:sup>
                  <m:r>
                    <w:rPr>
                      <w:rFonts w:ascii="Cambria Math" w:hAnsi="Cambria Math"/>
                    </w:rPr>
                    <m:t>2</m:t>
                  </m:r>
                </m:sup>
              </m:sSup>
            </m:e>
          </m:nary>
          <m:r>
            <w:rPr>
              <w:rFonts w:ascii="Cambria Math" w:hAnsi="Cambria Math"/>
            </w:rPr>
            <m:t>[n]</m:t>
          </m:r>
        </m:oMath>
      </m:oMathPara>
    </w:p>
    <w:p w14:paraId="49975DC7" w14:textId="1AF4F684" w:rsidR="00785D9E" w:rsidRPr="00113816" w:rsidRDefault="00785D9E" w:rsidP="00785D9E">
      <w:r w:rsidRPr="00113816">
        <w:t>This method reduces spectral variance by averaging multiple windowed periodograms. Spectral power was subsequently extracted for standard EEG frequency bands.</w:t>
      </w:r>
      <w:r w:rsidR="00E778F0" w:rsidRPr="00113816">
        <w:rPr>
          <w:rFonts w:hint="eastAsia"/>
        </w:rPr>
        <w:t xml:space="preserve"> In the present study, t</w:t>
      </w:r>
      <w:r w:rsidR="00E778F0" w:rsidRPr="00113816">
        <w:t>he EEG signal was segmented using a Hamming window with 50% overlap to reduce spectral variance and improve estimation stability.</w:t>
      </w:r>
      <w:r w:rsidR="000A47EE" w:rsidRPr="00113816">
        <w:rPr>
          <w:rFonts w:hint="eastAsia"/>
        </w:rPr>
        <w:t xml:space="preserve"> </w:t>
      </w:r>
      <w:r w:rsidR="000A47EE" w:rsidRPr="00113816">
        <w:t>Spectral features were computed using the Welch periodogram method to estimate the PSD. A Hann</w:t>
      </w:r>
      <w:r w:rsidR="000A47EE" w:rsidRPr="00113816">
        <w:rPr>
          <w:rFonts w:hint="eastAsia"/>
        </w:rPr>
        <w:t>ing</w:t>
      </w:r>
      <w:r w:rsidR="000A47EE" w:rsidRPr="00113816">
        <w:t xml:space="preserve"> window was applied, and the segment length (</w:t>
      </w:r>
      <w:proofErr w:type="spellStart"/>
      <w:r w:rsidR="000A47EE" w:rsidRPr="00113816">
        <w:t>nperseg</w:t>
      </w:r>
      <w:proofErr w:type="spellEnd"/>
      <w:r w:rsidR="000A47EE" w:rsidRPr="00113816">
        <w:t xml:space="preserve">) was determined as </w:t>
      </w:r>
      <m:oMath>
        <m:r>
          <w:rPr>
            <w:rFonts w:ascii="Cambria Math" w:hAnsi="Cambria Math"/>
          </w:rPr>
          <m:t>(1</m:t>
        </m:r>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low</m:t>
            </m:r>
          </m:sub>
        </m:sSub>
        <m:r>
          <w:rPr>
            <w:rFonts w:ascii="Cambria Math" w:hAnsi="Cambria Math"/>
          </w:rPr>
          <m:t>)×2×250</m:t>
        </m:r>
      </m:oMath>
      <w:r w:rsidR="000A47EE" w:rsidRPr="00113816">
        <w:t>Hz based on the sampling rate. Spectral power within each frequency band was subsequently calculated using Simpson’s rule integration.</w:t>
      </w:r>
    </w:p>
    <w:p w14:paraId="793FC792" w14:textId="48201E6A" w:rsidR="00BF4081" w:rsidRPr="00113816" w:rsidRDefault="00BF4081" w:rsidP="00BF4081"/>
    <w:p w14:paraId="2ED20C90" w14:textId="286CA336" w:rsidR="00180EDD" w:rsidRPr="00113816" w:rsidRDefault="00180EDD" w:rsidP="00BF4081">
      <w:pPr>
        <w:rPr>
          <w:b/>
          <w:bCs/>
        </w:rPr>
      </w:pPr>
      <w:r w:rsidRPr="00113816">
        <w:rPr>
          <w:rFonts w:hint="eastAsia"/>
          <w:b/>
          <w:bCs/>
        </w:rPr>
        <w:t>Machine learning methods</w:t>
      </w:r>
    </w:p>
    <w:p w14:paraId="448C0672" w14:textId="03F74CFD" w:rsidR="000A47EE" w:rsidRPr="00113816" w:rsidRDefault="00180EDD" w:rsidP="00180EDD">
      <w:pPr>
        <w:tabs>
          <w:tab w:val="left" w:pos="567"/>
        </w:tabs>
        <w:spacing w:before="100" w:beforeAutospacing="1" w:after="100" w:afterAutospacing="1"/>
      </w:pPr>
      <w:r w:rsidRPr="00113816">
        <w:t xml:space="preserve">SVM is a supervised ML algorithm for linear and nonlinear binary classification and could separate the data points in different classes by the hyperplanes with the largest optimal margin distance between each two classes </w:t>
      </w:r>
      <w:r w:rsidRPr="00113816">
        <w:fldChar w:fldCharType="begin"/>
      </w:r>
      <w:r w:rsidR="00202B84" w:rsidRPr="00113816">
        <w:instrText xml:space="preserve"> ADDIN EN.CITE &lt;EndNote&gt;&lt;Cite&gt;&lt;Author&gt;Cortes&lt;/Author&gt;&lt;Year&gt;1995&lt;/Year&gt;&lt;RecNum&gt;843&lt;/RecNum&gt;&lt;DisplayText&gt;[2]&lt;/DisplayText&gt;&lt;record&gt;&lt;rec-number&gt;843&lt;/rec-number&gt;&lt;foreign-keys&gt;&lt;key app="EN" db-id="veder2v2zaw0rcetremp9twcdtpwdswfrdxw" timestamp="1621602746"&gt;843&lt;/key&gt;&lt;/foreign-keys&gt;&lt;ref-type name="Journal Article"&gt;17&lt;/ref-type&gt;&lt;contributors&gt;&lt;authors&gt;&lt;author&gt;Cortes, C.&lt;/author&gt;&lt;author&gt;Vapnik, V.&lt;/author&gt;&lt;/authors&gt;&lt;/contributors&gt;&lt;titles&gt;&lt;title&gt;Support-Vector Networks&lt;/title&gt;&lt;secondary-title&gt;Machine Learning&lt;/secondary-title&gt;&lt;/titles&gt;&lt;periodical&gt;&lt;full-title&gt;Machine Learning&lt;/full-title&gt;&lt;/periodical&gt;&lt;pages&gt;273-297&lt;/pages&gt;&lt;volume&gt;20&lt;/volume&gt;&lt;dates&gt;&lt;year&gt;1995&lt;/year&gt;&lt;/dates&gt;&lt;urls&gt;&lt;/urls&gt;&lt;/record&gt;&lt;/Cite&gt;&lt;/EndNote&gt;</w:instrText>
      </w:r>
      <w:r w:rsidRPr="00113816">
        <w:fldChar w:fldCharType="separate"/>
      </w:r>
      <w:r w:rsidR="00202B84" w:rsidRPr="00113816">
        <w:rPr>
          <w:noProof/>
        </w:rPr>
        <w:t>[2]</w:t>
      </w:r>
      <w:r w:rsidRPr="00113816">
        <w:fldChar w:fldCharType="end"/>
      </w:r>
      <w:r w:rsidRPr="00113816">
        <w:t xml:space="preserve">. The present study used Gaussian </w:t>
      </w:r>
      <w:r w:rsidRPr="00113816">
        <w:lastRenderedPageBreak/>
        <w:t>SVM with a radial basis function (</w:t>
      </w:r>
      <w:proofErr w:type="spellStart"/>
      <w:r w:rsidRPr="00113816">
        <w:t>rbf</w:t>
      </w:r>
      <w:proofErr w:type="spellEnd"/>
      <w:r w:rsidRPr="00113816">
        <w:t xml:space="preserve">) kernel </w:t>
      </w:r>
      <w:r w:rsidRPr="00113816">
        <w:fldChar w:fldCharType="begin"/>
      </w:r>
      <w:r w:rsidR="00202B84" w:rsidRPr="00113816">
        <w:instrText xml:space="preserve"> ADDIN EN.CITE &lt;EndNote&gt;&lt;Cite&gt;&lt;Author&gt;Kousarrizi&lt;/Author&gt;&lt;Year&gt;2009&lt;/Year&gt;&lt;RecNum&gt;916&lt;/RecNum&gt;&lt;DisplayText&gt;[3]&lt;/DisplayText&gt;&lt;record&gt;&lt;rec-number&gt;916&lt;/rec-number&gt;&lt;foreign-keys&gt;&lt;key app="EN" db-id="veder2v2zaw0rcetremp9twcdtpwdswfrdxw" timestamp="1621738700"&gt;916&lt;/key&gt;&lt;/foreign-keys&gt;&lt;ref-type name="Journal Article"&gt;17&lt;/ref-type&gt;&lt;contributors&gt;&lt;authors&gt;&lt;author&gt;Kousarrizi, M.R.N.&lt;/author&gt;&lt;author&gt;Ghanbari, A.A.&lt;/author&gt;&lt;author&gt;Technehlab, M.&lt;/author&gt;&lt;author&gt;Shoorehdeli, M.A.&lt;/author&gt;&lt;author&gt;Gharaviri, A.&lt;/author&gt;&lt;/authors&gt;&lt;/contributors&gt;&lt;titles&gt;&lt;title&gt;Feature Extraction and Classification of EEG Signals using Wavelet Transform, SVM and Artificial Neural Networks for Brain Computer Interfaces&lt;/title&gt;&lt;secondary-title&gt;International Joint Conference on Bioinformatics, Systems Biology and Intelligent Computing&lt;/secondary-title&gt;&lt;/titles&gt;&lt;periodical&gt;&lt;full-title&gt;International Joint Conference on Bioinformatics, Systems Biology and Intelligent Computing&lt;/full-title&gt;&lt;/periodical&gt;&lt;pages&gt;352-355&lt;/pages&gt;&lt;dates&gt;&lt;year&gt;2009&lt;/year&gt;&lt;/dates&gt;&lt;urls&gt;&lt;/urls&gt;&lt;/record&gt;&lt;/Cite&gt;&lt;/EndNote&gt;</w:instrText>
      </w:r>
      <w:r w:rsidRPr="00113816">
        <w:fldChar w:fldCharType="separate"/>
      </w:r>
      <w:r w:rsidR="00202B84" w:rsidRPr="00113816">
        <w:rPr>
          <w:noProof/>
        </w:rPr>
        <w:t>[3]</w:t>
      </w:r>
      <w:r w:rsidRPr="00113816">
        <w:fldChar w:fldCharType="end"/>
      </w:r>
      <w:r w:rsidRPr="00113816">
        <w:t>.</w:t>
      </w:r>
      <w:r w:rsidR="000A47EE" w:rsidRPr="00113816">
        <w:t xml:space="preserve"> Hyperparameters were optimized using grid search with 10-fold cross-validation on the training dataset. The regularization parameter C and kernel parameter γ were searched over logarithmic ranges. The optimal parameters selected by cross-validation were C = 10 and γ = 0.05 for the </w:t>
      </w:r>
      <w:proofErr w:type="spellStart"/>
      <w:r w:rsidR="000A47EE" w:rsidRPr="00113816">
        <w:t>rbf</w:t>
      </w:r>
      <w:proofErr w:type="spellEnd"/>
      <w:r w:rsidR="000A47EE" w:rsidRPr="00113816">
        <w:t xml:space="preserve"> kernel.</w:t>
      </w:r>
    </w:p>
    <w:p w14:paraId="216D1FA2" w14:textId="1122AF67" w:rsidR="00CA5EF1" w:rsidRPr="00113816" w:rsidRDefault="00180EDD" w:rsidP="00180EDD">
      <w:pPr>
        <w:tabs>
          <w:tab w:val="left" w:pos="567"/>
        </w:tabs>
        <w:spacing w:before="100" w:beforeAutospacing="1" w:after="100" w:afterAutospacing="1"/>
      </w:pPr>
      <w:r w:rsidRPr="00113816">
        <w:t xml:space="preserve">RF employs the bagging concept to combine multiple decision tree classifiers into a single powerful model </w:t>
      </w:r>
      <w:r w:rsidRPr="00113816">
        <w:fldChar w:fldCharType="begin"/>
      </w:r>
      <w:r w:rsidR="00202B84" w:rsidRPr="00113816">
        <w:instrText xml:space="preserve"> ADDIN EN.CITE &lt;EndNote&gt;&lt;Cite&gt;&lt;Author&gt;Breiman&lt;/Author&gt;&lt;Year&gt;2001&lt;/Year&gt;&lt;RecNum&gt;847&lt;/RecNum&gt;&lt;DisplayText&gt;[4]&lt;/DisplayText&gt;&lt;record&gt;&lt;rec-number&gt;847&lt;/rec-number&gt;&lt;foreign-keys&gt;&lt;key app="EN" db-id="veder2v2zaw0rcetremp9twcdtpwdswfrdxw" timestamp="1621605185"&gt;847&lt;/key&gt;&lt;/foreign-keys&gt;&lt;ref-type name="Journal Article"&gt;17&lt;/ref-type&gt;&lt;contributors&gt;&lt;authors&gt;&lt;author&gt;Breiman, L. &lt;/author&gt;&lt;/authors&gt;&lt;/contributors&gt;&lt;titles&gt;&lt;title&gt;Random forests&lt;/title&gt;&lt;secondary-title&gt;Machine Learning&lt;/secondary-title&gt;&lt;/titles&gt;&lt;periodical&gt;&lt;full-title&gt;Machine Learning&lt;/full-title&gt;&lt;/periodical&gt;&lt;pages&gt;5-32&lt;/pages&gt;&lt;volume&gt;45&lt;/volume&gt;&lt;dates&gt;&lt;year&gt;2001&lt;/year&gt;&lt;/dates&gt;&lt;urls&gt;&lt;/urls&gt;&lt;/record&gt;&lt;/Cite&gt;&lt;/EndNote&gt;</w:instrText>
      </w:r>
      <w:r w:rsidRPr="00113816">
        <w:fldChar w:fldCharType="separate"/>
      </w:r>
      <w:r w:rsidR="00202B84" w:rsidRPr="00113816">
        <w:rPr>
          <w:noProof/>
        </w:rPr>
        <w:t>[4]</w:t>
      </w:r>
      <w:r w:rsidRPr="00113816">
        <w:fldChar w:fldCharType="end"/>
      </w:r>
      <w:r w:rsidRPr="00113816">
        <w:t xml:space="preserve">. Such a bootstrap resampling approach is able to create new training sample sets from the initial N training samples by selecting random k (k&lt;N) sets of samples repeatedly. The training sample is used to produce k buffeting decision trees for the construction of random forest, and the testing sample is then classified using majority vote decision. The strengths of RF include high generalization ability and low model variance. </w:t>
      </w:r>
      <w:r w:rsidR="0088561A" w:rsidRPr="00113816">
        <w:rPr>
          <w:rFonts w:hint="eastAsia"/>
        </w:rPr>
        <w:t>RF</w:t>
      </w:r>
      <w:r w:rsidR="0088561A" w:rsidRPr="00113816">
        <w:t xml:space="preserve"> classifiers were constructed using an ensemble of decision trees. </w:t>
      </w:r>
      <w:r w:rsidR="00CA5EF1" w:rsidRPr="00113816">
        <w:t>Hyperparameters, including the number of trees (</w:t>
      </w:r>
      <w:proofErr w:type="spellStart"/>
      <w:r w:rsidR="00CA5EF1" w:rsidRPr="00113816">
        <w:t>n_estimators</w:t>
      </w:r>
      <w:proofErr w:type="spellEnd"/>
      <w:r w:rsidR="00CA5EF1" w:rsidRPr="00113816">
        <w:t>) and maximum tree depth (</w:t>
      </w:r>
      <w:proofErr w:type="spellStart"/>
      <w:r w:rsidR="00CA5EF1" w:rsidRPr="00113816">
        <w:t>max_depth</w:t>
      </w:r>
      <w:proofErr w:type="spellEnd"/>
      <w:r w:rsidR="00CA5EF1" w:rsidRPr="00113816">
        <w:t>), were optimized using grid search with cross-validation on the training dataset. The optimal model selected by cross-validation consisted of 100 trees with no restriction on maximum tree depth.</w:t>
      </w:r>
    </w:p>
    <w:p w14:paraId="304EAA08" w14:textId="72002BC1" w:rsidR="00180EDD" w:rsidRPr="00113816" w:rsidRDefault="00180EDD" w:rsidP="00180EDD">
      <w:pPr>
        <w:tabs>
          <w:tab w:val="left" w:pos="567"/>
        </w:tabs>
        <w:spacing w:before="100" w:beforeAutospacing="1" w:after="100" w:afterAutospacing="1"/>
      </w:pPr>
      <w:proofErr w:type="spellStart"/>
      <w:r w:rsidRPr="00113816">
        <w:rPr>
          <w:rFonts w:hint="eastAsia"/>
        </w:rPr>
        <w:t>X</w:t>
      </w:r>
      <w:r w:rsidRPr="00113816">
        <w:t>GBoost</w:t>
      </w:r>
      <w:proofErr w:type="spellEnd"/>
      <w:r w:rsidRPr="00113816">
        <w:t xml:space="preserve"> is named after extreme gradient boosting and is a scalable and efficient adaptive ML algorithm for tree boosting </w:t>
      </w:r>
      <w:r w:rsidRPr="00113816">
        <w:fldChar w:fldCharType="begin"/>
      </w:r>
      <w:r w:rsidR="00202B84" w:rsidRPr="00113816">
        <w:instrText xml:space="preserve"> ADDIN EN.CITE &lt;EndNote&gt;&lt;Cite&gt;&lt;Author&gt;Chen&lt;/Author&gt;&lt;Year&gt;2016&lt;/Year&gt;&lt;RecNum&gt;917&lt;/RecNum&gt;&lt;DisplayText&gt;[5]&lt;/DisplayText&gt;&lt;record&gt;&lt;rec-number&gt;917&lt;/rec-number&gt;&lt;foreign-keys&gt;&lt;key app="EN" db-id="veder2v2zaw0rcetremp9twcdtpwdswfrdxw" timestamp="1621751335"&gt;917&lt;/key&gt;&lt;/foreign-keys&gt;&lt;ref-type name="Journal Article"&gt;17&lt;/ref-type&gt;&lt;contributors&gt;&lt;authors&gt;&lt;author&gt;Chen, T.&lt;/author&gt;&lt;author&gt;Guestrin, C.&lt;/author&gt;&lt;/authors&gt;&lt;/contributors&gt;&lt;titles&gt;&lt;title&gt;XGBoost: A Scalable Tree Boosting System&lt;/title&gt;&lt;secondary-title&gt;KDD&amp;apos;16: Proceedings of the 22nd ACM SIGKDD International Conference on Knowledge Discovery and Data Mining&lt;/secondary-title&gt;&lt;/titles&gt;&lt;periodical&gt;&lt;full-title&gt;KDD&amp;apos;16: Proceedings of the 22nd ACM SIGKDD International Conference on Knowledge Discovery and Data Mining&lt;/full-title&gt;&lt;/periodical&gt;&lt;pages&gt;785-794&lt;/pages&gt;&lt;dates&gt;&lt;year&gt;2016&lt;/year&gt;&lt;/dates&gt;&lt;urls&gt;&lt;/urls&gt;&lt;/record&gt;&lt;/Cite&gt;&lt;/EndNote&gt;</w:instrText>
      </w:r>
      <w:r w:rsidRPr="00113816">
        <w:fldChar w:fldCharType="separate"/>
      </w:r>
      <w:r w:rsidR="00202B84" w:rsidRPr="00113816">
        <w:rPr>
          <w:noProof/>
        </w:rPr>
        <w:t>[5]</w:t>
      </w:r>
      <w:r w:rsidRPr="00113816">
        <w:fldChar w:fldCharType="end"/>
      </w:r>
      <w:r w:rsidRPr="00113816">
        <w:t xml:space="preserve">. Tree boosting uses a powerful ensemble </w:t>
      </w:r>
      <w:r w:rsidRPr="00113816">
        <w:lastRenderedPageBreak/>
        <w:t xml:space="preserve">learning algorithm that combines many weak classifiers into a single strong classifier to improve classification accuracy. </w:t>
      </w:r>
      <w:proofErr w:type="spellStart"/>
      <w:r w:rsidRPr="00113816">
        <w:t>XGBoost</w:t>
      </w:r>
      <w:proofErr w:type="spellEnd"/>
      <w:r w:rsidRPr="00113816">
        <w:t xml:space="preserve"> provides parallel tree boosting and distributed computing that could solve problems in a fast and accurate way </w:t>
      </w:r>
      <w:r w:rsidRPr="00113816">
        <w:fldChar w:fldCharType="begin"/>
      </w:r>
      <w:r w:rsidR="00202B84" w:rsidRPr="00113816">
        <w:instrText xml:space="preserve"> ADDIN EN.CITE &lt;EndNote&gt;&lt;Cite&gt;&lt;Author&gt;Sharma&lt;/Author&gt;&lt;Year&gt;2020&lt;/Year&gt;&lt;RecNum&gt;844&lt;/RecNum&gt;&lt;DisplayText&gt;[6]&lt;/DisplayText&gt;&lt;record&gt;&lt;rec-number&gt;844&lt;/rec-number&gt;&lt;foreign-keys&gt;&lt;key app="EN" db-id="veder2v2zaw0rcetremp9twcdtpwdswfrdxw" timestamp="1621604337"&gt;844&lt;/key&gt;&lt;/foreign-keys&gt;&lt;ref-type name="Journal Article"&gt;17&lt;/ref-type&gt;&lt;contributors&gt;&lt;authors&gt;&lt;author&gt;Sharma, A.&lt;/author&gt;&lt;author&gt;Verbeke, Wjmi&lt;/author&gt;&lt;/authors&gt;&lt;/contributors&gt;&lt;auth-address&gt;Department of Operations Research &amp;amp; Quantitative Analysis, Institute of Agri-Business Management, Swami Keshwanand Rajasthan Agricultural University, Bikaner, India.&amp;#xD;Erasmus University, Rotterdam, Netherlands.&lt;/auth-address&gt;&lt;titles&gt;&lt;title&gt;Improving Diagnosis of Depression With XGBOOST Machine Learning Model and a Large Biomarkers Dutch Dataset (n = 11,081)&lt;/title&gt;&lt;secondary-title&gt;Front Big Data&lt;/secondary-title&gt;&lt;/titles&gt;&lt;periodical&gt;&lt;full-title&gt;Front Big Data&lt;/full-title&gt;&lt;/periodical&gt;&lt;pages&gt;15&lt;/pages&gt;&lt;volume&gt;3&lt;/volume&gt;&lt;keywords&gt;&lt;keyword&gt;XGBoost&lt;/keyword&gt;&lt;keyword&gt;class imbalance&lt;/keyword&gt;&lt;keyword&gt;classification&lt;/keyword&gt;&lt;keyword&gt;depression&lt;/keyword&gt;&lt;keyword&gt;extreme gradient boosting&lt;/keyword&gt;&lt;keyword&gt;mental health&lt;/keyword&gt;&lt;/keywords&gt;&lt;dates&gt;&lt;year&gt;2020&lt;/year&gt;&lt;/dates&gt;&lt;isbn&gt;2624-909X (Electronic)&amp;#xD;2624-909X (Linking)&lt;/isbn&gt;&lt;accession-num&gt;33693389&lt;/accession-num&gt;&lt;urls&gt;&lt;related-urls&gt;&lt;url&gt;https://www.ncbi.nlm.nih.gov/pubmed/33693389&lt;/url&gt;&lt;/related-urls&gt;&lt;/urls&gt;&lt;custom2&gt;PMC7931945&lt;/custom2&gt;&lt;electronic-resource-num&gt;10.3389/fdata.2020.00015&lt;/electronic-resource-num&gt;&lt;/record&gt;&lt;/Cite&gt;&lt;/EndNote&gt;</w:instrText>
      </w:r>
      <w:r w:rsidRPr="00113816">
        <w:fldChar w:fldCharType="separate"/>
      </w:r>
      <w:r w:rsidR="00202B84" w:rsidRPr="00113816">
        <w:rPr>
          <w:noProof/>
        </w:rPr>
        <w:t>[6]</w:t>
      </w:r>
      <w:r w:rsidRPr="00113816">
        <w:fldChar w:fldCharType="end"/>
      </w:r>
      <w:r w:rsidRPr="00113816">
        <w:t xml:space="preserve">. </w:t>
      </w:r>
      <w:proofErr w:type="spellStart"/>
      <w:r w:rsidRPr="00113816">
        <w:t>XGBoost</w:t>
      </w:r>
      <w:proofErr w:type="spellEnd"/>
      <w:r w:rsidRPr="00113816">
        <w:t xml:space="preserve"> also provides optimized algorithms, including a novel tree learning algorithm for handling sparse data, a theoretically justified weighted quantile sketch procedure for handling instance weights in approximate tree learning </w:t>
      </w:r>
      <w:r w:rsidRPr="00113816">
        <w:fldChar w:fldCharType="begin"/>
      </w:r>
      <w:r w:rsidR="00202B84" w:rsidRPr="00113816">
        <w:instrText xml:space="preserve"> ADDIN EN.CITE &lt;EndNote&gt;&lt;Cite&gt;&lt;Author&gt;Chen&lt;/Author&gt;&lt;Year&gt;2016&lt;/Year&gt;&lt;RecNum&gt;917&lt;/RecNum&gt;&lt;DisplayText&gt;[5]&lt;/DisplayText&gt;&lt;record&gt;&lt;rec-number&gt;917&lt;/rec-number&gt;&lt;foreign-keys&gt;&lt;key app="EN" db-id="veder2v2zaw0rcetremp9twcdtpwdswfrdxw" timestamp="1621751335"&gt;917&lt;/key&gt;&lt;/foreign-keys&gt;&lt;ref-type name="Journal Article"&gt;17&lt;/ref-type&gt;&lt;contributors&gt;&lt;authors&gt;&lt;author&gt;Chen, T.&lt;/author&gt;&lt;author&gt;Guestrin, C.&lt;/author&gt;&lt;/authors&gt;&lt;/contributors&gt;&lt;titles&gt;&lt;title&gt;XGBoost: A Scalable Tree Boosting System&lt;/title&gt;&lt;secondary-title&gt;KDD&amp;apos;16: Proceedings of the 22nd ACM SIGKDD International Conference on Knowledge Discovery and Data Mining&lt;/secondary-title&gt;&lt;/titles&gt;&lt;periodical&gt;&lt;full-title&gt;KDD&amp;apos;16: Proceedings of the 22nd ACM SIGKDD International Conference on Knowledge Discovery and Data Mining&lt;/full-title&gt;&lt;/periodical&gt;&lt;pages&gt;785-794&lt;/pages&gt;&lt;dates&gt;&lt;year&gt;2016&lt;/year&gt;&lt;/dates&gt;&lt;urls&gt;&lt;/urls&gt;&lt;/record&gt;&lt;/Cite&gt;&lt;/EndNote&gt;</w:instrText>
      </w:r>
      <w:r w:rsidRPr="00113816">
        <w:fldChar w:fldCharType="separate"/>
      </w:r>
      <w:r w:rsidR="00202B84" w:rsidRPr="00113816">
        <w:rPr>
          <w:noProof/>
        </w:rPr>
        <w:t>[5]</w:t>
      </w:r>
      <w:r w:rsidRPr="00113816">
        <w:fldChar w:fldCharType="end"/>
      </w:r>
      <w:r w:rsidRPr="00113816">
        <w:t>.</w:t>
      </w:r>
      <w:r w:rsidR="009A7B1C" w:rsidRPr="00113816">
        <w:rPr>
          <w:rFonts w:hint="eastAsia"/>
        </w:rPr>
        <w:t xml:space="preserve"> </w:t>
      </w:r>
      <w:r w:rsidR="009A7B1C" w:rsidRPr="00113816">
        <w:t xml:space="preserve">For the </w:t>
      </w:r>
      <w:proofErr w:type="spellStart"/>
      <w:r w:rsidR="009A7B1C" w:rsidRPr="00113816">
        <w:t>XGBoost</w:t>
      </w:r>
      <w:proofErr w:type="spellEnd"/>
      <w:r w:rsidR="009A7B1C" w:rsidRPr="00113816">
        <w:t xml:space="preserve"> classifier, hyperparameters including the number of estimators, learning rate, and L1 regularization term were optimized using cross-validation on the training dataset. The optimal configuration selected by cross-validation consisted of 150 estimators, a learning rate of 0.42, and a regularization parameter α = 0.1. The maximum tree depth was not explicitly restricted.</w:t>
      </w:r>
      <w:r w:rsidR="009A7B1C" w:rsidRPr="00113816">
        <w:rPr>
          <w:rFonts w:hint="eastAsia"/>
        </w:rPr>
        <w:t xml:space="preserve"> </w:t>
      </w:r>
    </w:p>
    <w:p w14:paraId="1B8D68E7" w14:textId="3D1042AF" w:rsidR="00180EDD" w:rsidRPr="00113816" w:rsidRDefault="00180EDD" w:rsidP="00180EDD">
      <w:proofErr w:type="spellStart"/>
      <w:r w:rsidRPr="00113816">
        <w:t>CatBoost</w:t>
      </w:r>
      <w:proofErr w:type="spellEnd"/>
      <w:r w:rsidRPr="00113816">
        <w:t xml:space="preserve"> is named after categorical boosting and is also one kind of gradient-boosting decision tree ML algorithm. It is well suited for categorical and heterogeneous data </w:t>
      </w:r>
      <w:r w:rsidRPr="00113816">
        <w:fldChar w:fldCharType="begin"/>
      </w:r>
      <w:r w:rsidR="00202B84" w:rsidRPr="00113816">
        <w:instrText xml:space="preserve"> ADDIN EN.CITE &lt;EndNote&gt;&lt;Cite&gt;&lt;Author&gt;Hancock&lt;/Author&gt;&lt;Year&gt;2020&lt;/Year&gt;&lt;RecNum&gt;846&lt;/RecNum&gt;&lt;DisplayText&gt;[7]&lt;/DisplayText&gt;&lt;record&gt;&lt;rec-number&gt;846&lt;/rec-number&gt;&lt;foreign-keys&gt;&lt;key app="EN" db-id="veder2v2zaw0rcetremp9twcdtpwdswfrdxw" timestamp="1621604979"&gt;846&lt;/key&gt;&lt;/foreign-keys&gt;&lt;ref-type name="Journal Article"&gt;17&lt;/ref-type&gt;&lt;contributors&gt;&lt;authors&gt;&lt;author&gt;Hancock, J. T.&lt;/author&gt;&lt;author&gt;Khoshgoftaar, T. M.&lt;/author&gt;&lt;/authors&gt;&lt;/contributors&gt;&lt;auth-address&gt;Florida Atlantic University, 777 Glades Road, Boca Raton, FL USA.grid.255951.f0000 0004 0635 0263&lt;/auth-address&gt;&lt;titles&gt;&lt;title&gt;CatBoost for big data: an interdisciplinary review&lt;/title&gt;&lt;secondary-title&gt;J Big Data&lt;/secondary-title&gt;&lt;/titles&gt;&lt;periodical&gt;&lt;full-title&gt;J Big Data&lt;/full-title&gt;&lt;/periodical&gt;&lt;pages&gt;94&lt;/pages&gt;&lt;volume&gt;7&lt;/volume&gt;&lt;number&gt;1&lt;/number&gt;&lt;keywords&gt;&lt;keyword&gt;Big data&lt;/keyword&gt;&lt;keyword&gt;CatBoost&lt;/keyword&gt;&lt;keyword&gt;Categorical variable encoding&lt;/keyword&gt;&lt;keyword&gt;Decision tree&lt;/keyword&gt;&lt;keyword&gt;Ensemble methods&lt;/keyword&gt;&lt;keyword&gt;Machine learning&lt;/keyword&gt;&lt;/keywords&gt;&lt;dates&gt;&lt;year&gt;2020&lt;/year&gt;&lt;/dates&gt;&lt;isbn&gt;2196-1115 (Print)&amp;#xD;2196-1115 (Linking)&lt;/isbn&gt;&lt;accession-num&gt;33169094&lt;/accession-num&gt;&lt;urls&gt;&lt;related-urls&gt;&lt;url&gt;https://www.ncbi.nlm.nih.gov/pubmed/33169094&lt;/url&gt;&lt;/related-urls&gt;&lt;/urls&gt;&lt;custom2&gt;PMC7610170&lt;/custom2&gt;&lt;electronic-resource-num&gt;10.1186/s40537-020-00369-8&lt;/electronic-resource-num&gt;&lt;/record&gt;&lt;/Cite&gt;&lt;/EndNote&gt;</w:instrText>
      </w:r>
      <w:r w:rsidRPr="00113816">
        <w:fldChar w:fldCharType="separate"/>
      </w:r>
      <w:r w:rsidR="00202B84" w:rsidRPr="00113816">
        <w:rPr>
          <w:noProof/>
        </w:rPr>
        <w:t>[7]</w:t>
      </w:r>
      <w:r w:rsidRPr="00113816">
        <w:fldChar w:fldCharType="end"/>
      </w:r>
      <w:r w:rsidRPr="00113816">
        <w:t xml:space="preserve">. </w:t>
      </w:r>
      <w:proofErr w:type="spellStart"/>
      <w:r w:rsidRPr="00113816">
        <w:t>CatBoost</w:t>
      </w:r>
      <w:proofErr w:type="spellEnd"/>
      <w:r w:rsidRPr="00113816">
        <w:t xml:space="preserve"> is good at hyperparameter tuning by combing many categorical characteristics into a single one. It provides unbiased boosting with categorical features. </w:t>
      </w:r>
      <w:proofErr w:type="spellStart"/>
      <w:r w:rsidRPr="00113816">
        <w:t>CatBoost</w:t>
      </w:r>
      <w:proofErr w:type="spellEnd"/>
      <w:r w:rsidRPr="00113816">
        <w:t xml:space="preserve"> produces random permutations of the training data and collects gradients by sampling random permutations to improve the robustness of the algorithm.</w:t>
      </w:r>
      <w:r w:rsidR="00FD0DDF" w:rsidRPr="00113816">
        <w:rPr>
          <w:rFonts w:hint="eastAsia"/>
        </w:rPr>
        <w:t xml:space="preserve"> The</w:t>
      </w:r>
      <w:r w:rsidR="00FD0DDF" w:rsidRPr="00113816">
        <w:t xml:space="preserve"> hyperparameters were optimized using randomized search with cross-validation. The optimal model used 150 boosting iterations, a learning rate of 0.03, tree depth of 2, and </w:t>
      </w:r>
      <w:r w:rsidR="00FD0DDF" w:rsidRPr="00113816">
        <w:lastRenderedPageBreak/>
        <w:t>an L2 regularization parameter of 3.</w:t>
      </w:r>
    </w:p>
    <w:p w14:paraId="409F4D22" w14:textId="77777777" w:rsidR="00202B84" w:rsidRPr="00113816" w:rsidRDefault="00202B84" w:rsidP="00BF4081"/>
    <w:p w14:paraId="773C5A8E" w14:textId="014053E6" w:rsidR="00FD0DDF" w:rsidRPr="00113816" w:rsidRDefault="00FD0DDF" w:rsidP="00BF4081">
      <w:r w:rsidRPr="00113816">
        <w:rPr>
          <w:rFonts w:hint="eastAsia"/>
        </w:rPr>
        <w:t>References</w:t>
      </w:r>
    </w:p>
    <w:p w14:paraId="1B25249F" w14:textId="50A26665" w:rsidR="00145154" w:rsidRPr="00113816" w:rsidRDefault="00202B84" w:rsidP="00145154">
      <w:pPr>
        <w:pStyle w:val="EndNoteBibliography"/>
      </w:pPr>
      <w:r w:rsidRPr="00113816">
        <w:fldChar w:fldCharType="begin"/>
      </w:r>
      <w:r w:rsidRPr="00113816">
        <w:instrText xml:space="preserve"> ADDIN EN.REFLIST </w:instrText>
      </w:r>
      <w:r w:rsidRPr="00113816">
        <w:fldChar w:fldCharType="separate"/>
      </w:r>
      <w:r w:rsidR="00145154" w:rsidRPr="00113816">
        <w:t xml:space="preserve">[1] Hyvarinen A, Oja E. Independent component analysis: algorithms and applications. Neural Netw. 2000; 13: 411-430. </w:t>
      </w:r>
      <w:hyperlink r:id="rId7" w:history="1">
        <w:r w:rsidR="00145154" w:rsidRPr="00113816">
          <w:rPr>
            <w:rStyle w:val="af2"/>
            <w:color w:val="auto"/>
          </w:rPr>
          <w:t>https://doi.org/10.1016/s0893-6080(00)00026-5</w:t>
        </w:r>
      </w:hyperlink>
    </w:p>
    <w:p w14:paraId="7FB71010" w14:textId="77777777" w:rsidR="00145154" w:rsidRPr="00113816" w:rsidRDefault="00145154" w:rsidP="00145154">
      <w:pPr>
        <w:pStyle w:val="EndNoteBibliography"/>
      </w:pPr>
      <w:r w:rsidRPr="00113816">
        <w:t xml:space="preserve">[2] Cortes C, Vapnik V. Support-Vector Networks. Machine Learning. 1995; 20: 273-297. </w:t>
      </w:r>
    </w:p>
    <w:p w14:paraId="19AE249B" w14:textId="77777777" w:rsidR="00145154" w:rsidRPr="00113816" w:rsidRDefault="00145154" w:rsidP="00145154">
      <w:pPr>
        <w:pStyle w:val="EndNoteBibliography"/>
      </w:pPr>
      <w:r w:rsidRPr="00113816">
        <w:t xml:space="preserve">[3] Kousarrizi MRN, Ghanbari AA, Technehlab M, Shoorehdeli MA, Gharaviri A. Feature Extraction and Classification of EEG Signals using Wavelet Transform, SVM and Artificial Neural Networks for Brain Computer Interfaces. International Joint Conference on Bioinformatics, Systems Biology and Intelligent Computing. 2009: 352-355. </w:t>
      </w:r>
    </w:p>
    <w:p w14:paraId="624FB237" w14:textId="77777777" w:rsidR="00145154" w:rsidRPr="00113816" w:rsidRDefault="00145154" w:rsidP="00145154">
      <w:pPr>
        <w:pStyle w:val="EndNoteBibliography"/>
      </w:pPr>
      <w:r w:rsidRPr="00113816">
        <w:t xml:space="preserve">[4] Breiman L. Random forests. Machine Learning. 2001; 45: 5-32. </w:t>
      </w:r>
    </w:p>
    <w:p w14:paraId="6B9F30E1" w14:textId="77777777" w:rsidR="00145154" w:rsidRPr="00113816" w:rsidRDefault="00145154" w:rsidP="00145154">
      <w:pPr>
        <w:pStyle w:val="EndNoteBibliography"/>
      </w:pPr>
      <w:r w:rsidRPr="00113816">
        <w:t xml:space="preserve">[5] Chen T, Guestrin C. XGBoost: A Scalable Tree Boosting System. KDD'16: Proceedings of the 22nd ACM SIGKDD International Conference on Knowledge Discovery and Data Mining. 2016: 785-794. </w:t>
      </w:r>
    </w:p>
    <w:p w14:paraId="15869576" w14:textId="003A9965" w:rsidR="00145154" w:rsidRPr="00113816" w:rsidRDefault="00145154" w:rsidP="00145154">
      <w:pPr>
        <w:pStyle w:val="EndNoteBibliography"/>
      </w:pPr>
      <w:r w:rsidRPr="00113816">
        <w:t xml:space="preserve">[6] Sharma A, Verbeke W. Improving Diagnosis of Depression With XGBOOST Machine Learning Model and a Large Biomarkers Dutch Dataset (n = 11,081). Front Big Data. 2020; 3: 15. </w:t>
      </w:r>
      <w:hyperlink r:id="rId8" w:history="1">
        <w:r w:rsidRPr="00113816">
          <w:rPr>
            <w:rStyle w:val="af2"/>
            <w:color w:val="auto"/>
          </w:rPr>
          <w:t>https://doi.org/10.3389/fdata.2020.00015</w:t>
        </w:r>
      </w:hyperlink>
    </w:p>
    <w:p w14:paraId="6413E762" w14:textId="4E7CD87F" w:rsidR="00145154" w:rsidRPr="00113816" w:rsidRDefault="00145154" w:rsidP="00145154">
      <w:pPr>
        <w:pStyle w:val="EndNoteBibliography"/>
      </w:pPr>
      <w:r w:rsidRPr="00113816">
        <w:t xml:space="preserve">[7] Hancock JT, Khoshgoftaar TM. CatBoost for big data: an interdisciplinary review. J Big Data. 2020; 7: 94. </w:t>
      </w:r>
      <w:hyperlink r:id="rId9" w:history="1">
        <w:r w:rsidRPr="00113816">
          <w:rPr>
            <w:rStyle w:val="af2"/>
            <w:color w:val="auto"/>
          </w:rPr>
          <w:t>https://doi.org/10.1186/s40537-020-00369-8</w:t>
        </w:r>
      </w:hyperlink>
    </w:p>
    <w:p w14:paraId="63F59169" w14:textId="339ADF1C" w:rsidR="0036023C" w:rsidRPr="00113816" w:rsidRDefault="00202B84" w:rsidP="00BF4081">
      <w:r w:rsidRPr="00113816">
        <w:fldChar w:fldCharType="end"/>
      </w:r>
    </w:p>
    <w:p w14:paraId="576DF622" w14:textId="77777777" w:rsidR="0036023C" w:rsidRPr="00113816" w:rsidRDefault="0036023C">
      <w:pPr>
        <w:widowControl/>
        <w:spacing w:after="160" w:line="278" w:lineRule="auto"/>
        <w:jc w:val="left"/>
      </w:pPr>
      <w:r w:rsidRPr="00113816">
        <w:br w:type="page"/>
      </w:r>
    </w:p>
    <w:p w14:paraId="308862B3" w14:textId="77777777" w:rsidR="0036023C" w:rsidRPr="00113816" w:rsidRDefault="0036023C" w:rsidP="0036023C">
      <w:pPr>
        <w:snapToGrid w:val="0"/>
      </w:pPr>
      <w:r w:rsidRPr="00113816">
        <w:rPr>
          <w:rFonts w:hint="eastAsia"/>
        </w:rPr>
        <w:lastRenderedPageBreak/>
        <w:t xml:space="preserve">Supplementary Table 1. Demographic and clinical variables among depressed patients with different levels of suicidality </w:t>
      </w:r>
    </w:p>
    <w:tbl>
      <w:tblPr>
        <w:tblStyle w:val="51"/>
        <w:tblW w:w="0" w:type="auto"/>
        <w:tblLook w:val="04A0" w:firstRow="1" w:lastRow="0" w:firstColumn="1" w:lastColumn="0" w:noHBand="0" w:noVBand="1"/>
      </w:tblPr>
      <w:tblGrid>
        <w:gridCol w:w="1659"/>
        <w:gridCol w:w="1658"/>
        <w:gridCol w:w="1660"/>
        <w:gridCol w:w="1659"/>
        <w:gridCol w:w="1660"/>
      </w:tblGrid>
      <w:tr w:rsidR="00113816" w:rsidRPr="00113816" w14:paraId="6937DE07" w14:textId="77777777" w:rsidTr="00DA7837">
        <w:trPr>
          <w:cnfStyle w:val="100000000000" w:firstRow="1" w:lastRow="0" w:firstColumn="0" w:lastColumn="0" w:oddVBand="0" w:evenVBand="0" w:oddHBand="0" w:evenHBand="0" w:firstRowFirstColumn="0" w:firstRowLastColumn="0" w:lastRowFirstColumn="0" w:lastRowLastColumn="0"/>
          <w:trHeight w:val="460"/>
        </w:trPr>
        <w:tc>
          <w:tcPr>
            <w:cnfStyle w:val="001000000000" w:firstRow="0" w:lastRow="0" w:firstColumn="1" w:lastColumn="0" w:oddVBand="0" w:evenVBand="0" w:oddHBand="0" w:evenHBand="0" w:firstRowFirstColumn="0" w:firstRowLastColumn="0" w:lastRowFirstColumn="0" w:lastRowLastColumn="0"/>
            <w:tcW w:w="1660" w:type="dxa"/>
          </w:tcPr>
          <w:p w14:paraId="7B3F3987" w14:textId="77777777" w:rsidR="0036023C" w:rsidRPr="00113816" w:rsidRDefault="0036023C" w:rsidP="00DA7837">
            <w:pPr>
              <w:snapToGrid w:val="0"/>
              <w:spacing w:line="240" w:lineRule="exact"/>
              <w:jc w:val="center"/>
              <w:rPr>
                <w:color w:val="auto"/>
                <w:sz w:val="22"/>
                <w:szCs w:val="20"/>
              </w:rPr>
            </w:pPr>
          </w:p>
        </w:tc>
        <w:tc>
          <w:tcPr>
            <w:tcW w:w="1660" w:type="dxa"/>
          </w:tcPr>
          <w:p w14:paraId="438EDB57" w14:textId="77777777" w:rsidR="0036023C" w:rsidRPr="00113816" w:rsidRDefault="0036023C" w:rsidP="00DA7837">
            <w:pPr>
              <w:snapToGrid w:val="0"/>
              <w:spacing w:line="240" w:lineRule="exact"/>
              <w:jc w:val="center"/>
              <w:cnfStyle w:val="100000000000" w:firstRow="1" w:lastRow="0" w:firstColumn="0" w:lastColumn="0" w:oddVBand="0" w:evenVBand="0" w:oddHBand="0" w:evenHBand="0" w:firstRowFirstColumn="0" w:firstRowLastColumn="0" w:lastRowFirstColumn="0" w:lastRowLastColumn="0"/>
              <w:rPr>
                <w:b w:val="0"/>
                <w:bCs w:val="0"/>
                <w:color w:val="auto"/>
                <w:sz w:val="22"/>
                <w:szCs w:val="20"/>
              </w:rPr>
            </w:pPr>
            <w:r w:rsidRPr="00113816">
              <w:rPr>
                <w:color w:val="auto"/>
                <w:sz w:val="22"/>
                <w:szCs w:val="20"/>
              </w:rPr>
              <w:t>Age</w:t>
            </w:r>
          </w:p>
          <w:p w14:paraId="5A8176A4" w14:textId="77777777" w:rsidR="0036023C" w:rsidRPr="00113816" w:rsidRDefault="0036023C" w:rsidP="00DA7837">
            <w:pPr>
              <w:snapToGrid w:val="0"/>
              <w:spacing w:line="240" w:lineRule="exact"/>
              <w:jc w:val="center"/>
              <w:cnfStyle w:val="100000000000" w:firstRow="1" w:lastRow="0" w:firstColumn="0" w:lastColumn="0" w:oddVBand="0" w:evenVBand="0" w:oddHBand="0" w:evenHBand="0" w:firstRowFirstColumn="0" w:firstRowLastColumn="0" w:lastRowFirstColumn="0" w:lastRowLastColumn="0"/>
              <w:rPr>
                <w:color w:val="auto"/>
                <w:sz w:val="22"/>
                <w:szCs w:val="20"/>
              </w:rPr>
            </w:pPr>
            <w:r w:rsidRPr="00113816">
              <w:rPr>
                <w:rFonts w:hint="eastAsia"/>
                <w:color w:val="auto"/>
                <w:sz w:val="22"/>
                <w:szCs w:val="20"/>
              </w:rPr>
              <w:t>mean (SD)</w:t>
            </w:r>
          </w:p>
        </w:tc>
        <w:tc>
          <w:tcPr>
            <w:tcW w:w="1661" w:type="dxa"/>
          </w:tcPr>
          <w:p w14:paraId="33B149D8" w14:textId="77777777" w:rsidR="0036023C" w:rsidRPr="00113816" w:rsidRDefault="0036023C" w:rsidP="00DA7837">
            <w:pPr>
              <w:snapToGrid w:val="0"/>
              <w:spacing w:line="240" w:lineRule="exact"/>
              <w:jc w:val="center"/>
              <w:cnfStyle w:val="100000000000" w:firstRow="1" w:lastRow="0" w:firstColumn="0" w:lastColumn="0" w:oddVBand="0" w:evenVBand="0" w:oddHBand="0" w:evenHBand="0" w:firstRowFirstColumn="0" w:firstRowLastColumn="0" w:lastRowFirstColumn="0" w:lastRowLastColumn="0"/>
              <w:rPr>
                <w:b w:val="0"/>
                <w:bCs w:val="0"/>
                <w:color w:val="auto"/>
                <w:sz w:val="22"/>
                <w:szCs w:val="20"/>
              </w:rPr>
            </w:pPr>
            <w:r w:rsidRPr="00113816">
              <w:rPr>
                <w:rFonts w:hint="eastAsia"/>
                <w:b w:val="0"/>
                <w:bCs w:val="0"/>
                <w:color w:val="auto"/>
                <w:sz w:val="22"/>
                <w:szCs w:val="20"/>
              </w:rPr>
              <w:t>Male/Female (N/N)</w:t>
            </w:r>
          </w:p>
        </w:tc>
        <w:tc>
          <w:tcPr>
            <w:tcW w:w="1660" w:type="dxa"/>
          </w:tcPr>
          <w:p w14:paraId="336ABC43" w14:textId="77777777" w:rsidR="0036023C" w:rsidRPr="00113816" w:rsidRDefault="0036023C" w:rsidP="00DA7837">
            <w:pPr>
              <w:snapToGrid w:val="0"/>
              <w:spacing w:line="240" w:lineRule="exact"/>
              <w:jc w:val="center"/>
              <w:cnfStyle w:val="100000000000" w:firstRow="1" w:lastRow="0" w:firstColumn="0" w:lastColumn="0" w:oddVBand="0" w:evenVBand="0" w:oddHBand="0" w:evenHBand="0" w:firstRowFirstColumn="0" w:firstRowLastColumn="0" w:lastRowFirstColumn="0" w:lastRowLastColumn="0"/>
              <w:rPr>
                <w:b w:val="0"/>
                <w:bCs w:val="0"/>
                <w:color w:val="auto"/>
                <w:sz w:val="22"/>
                <w:szCs w:val="20"/>
              </w:rPr>
            </w:pPr>
            <w:r w:rsidRPr="00113816">
              <w:rPr>
                <w:color w:val="auto"/>
                <w:sz w:val="22"/>
                <w:szCs w:val="20"/>
              </w:rPr>
              <w:t>HDRS-17</w:t>
            </w:r>
          </w:p>
          <w:p w14:paraId="20C5132F" w14:textId="77777777" w:rsidR="0036023C" w:rsidRPr="00113816" w:rsidRDefault="0036023C" w:rsidP="00DA7837">
            <w:pPr>
              <w:snapToGrid w:val="0"/>
              <w:spacing w:line="240" w:lineRule="exact"/>
              <w:jc w:val="center"/>
              <w:cnfStyle w:val="100000000000" w:firstRow="1" w:lastRow="0" w:firstColumn="0" w:lastColumn="0" w:oddVBand="0" w:evenVBand="0" w:oddHBand="0" w:evenHBand="0" w:firstRowFirstColumn="0" w:firstRowLastColumn="0" w:lastRowFirstColumn="0" w:lastRowLastColumn="0"/>
              <w:rPr>
                <w:color w:val="auto"/>
                <w:sz w:val="22"/>
                <w:szCs w:val="20"/>
              </w:rPr>
            </w:pPr>
            <w:r w:rsidRPr="00113816">
              <w:rPr>
                <w:rFonts w:hint="eastAsia"/>
                <w:color w:val="auto"/>
                <w:sz w:val="22"/>
                <w:szCs w:val="20"/>
              </w:rPr>
              <w:t>mean (SD)</w:t>
            </w:r>
          </w:p>
        </w:tc>
        <w:tc>
          <w:tcPr>
            <w:tcW w:w="1661" w:type="dxa"/>
          </w:tcPr>
          <w:p w14:paraId="437DB86F" w14:textId="77777777" w:rsidR="0036023C" w:rsidRPr="00113816" w:rsidRDefault="0036023C" w:rsidP="00DA7837">
            <w:pPr>
              <w:snapToGrid w:val="0"/>
              <w:spacing w:line="240" w:lineRule="exact"/>
              <w:jc w:val="center"/>
              <w:cnfStyle w:val="100000000000" w:firstRow="1" w:lastRow="0" w:firstColumn="0" w:lastColumn="0" w:oddVBand="0" w:evenVBand="0" w:oddHBand="0" w:evenHBand="0" w:firstRowFirstColumn="0" w:firstRowLastColumn="0" w:lastRowFirstColumn="0" w:lastRowLastColumn="0"/>
              <w:rPr>
                <w:b w:val="0"/>
                <w:bCs w:val="0"/>
                <w:color w:val="auto"/>
                <w:sz w:val="22"/>
                <w:szCs w:val="20"/>
              </w:rPr>
            </w:pPr>
            <w:r w:rsidRPr="00113816">
              <w:rPr>
                <w:color w:val="auto"/>
                <w:sz w:val="22"/>
                <w:szCs w:val="20"/>
              </w:rPr>
              <w:t>MSM</w:t>
            </w:r>
          </w:p>
          <w:p w14:paraId="4919434E" w14:textId="77777777" w:rsidR="0036023C" w:rsidRPr="00113816" w:rsidRDefault="0036023C" w:rsidP="00DA7837">
            <w:pPr>
              <w:snapToGrid w:val="0"/>
              <w:spacing w:line="240" w:lineRule="exact"/>
              <w:jc w:val="center"/>
              <w:cnfStyle w:val="100000000000" w:firstRow="1" w:lastRow="0" w:firstColumn="0" w:lastColumn="0" w:oddVBand="0" w:evenVBand="0" w:oddHBand="0" w:evenHBand="0" w:firstRowFirstColumn="0" w:firstRowLastColumn="0" w:lastRowFirstColumn="0" w:lastRowLastColumn="0"/>
              <w:rPr>
                <w:color w:val="auto"/>
                <w:sz w:val="22"/>
                <w:szCs w:val="20"/>
              </w:rPr>
            </w:pPr>
            <w:r w:rsidRPr="00113816">
              <w:rPr>
                <w:rFonts w:hint="eastAsia"/>
                <w:color w:val="auto"/>
                <w:sz w:val="22"/>
                <w:szCs w:val="20"/>
              </w:rPr>
              <w:t>mean (SD)</w:t>
            </w:r>
          </w:p>
        </w:tc>
      </w:tr>
      <w:tr w:rsidR="00113816" w:rsidRPr="00113816" w14:paraId="5CC2E2EF" w14:textId="77777777" w:rsidTr="00DA7837">
        <w:trPr>
          <w:cnfStyle w:val="000000100000" w:firstRow="0" w:lastRow="0" w:firstColumn="0" w:lastColumn="0" w:oddVBand="0" w:evenVBand="0" w:oddHBand="1" w:evenHBand="0" w:firstRowFirstColumn="0" w:firstRowLastColumn="0" w:lastRowFirstColumn="0" w:lastRowLastColumn="0"/>
          <w:trHeight w:val="460"/>
        </w:trPr>
        <w:tc>
          <w:tcPr>
            <w:cnfStyle w:val="001000000000" w:firstRow="0" w:lastRow="0" w:firstColumn="1" w:lastColumn="0" w:oddVBand="0" w:evenVBand="0" w:oddHBand="0" w:evenHBand="0" w:firstRowFirstColumn="0" w:firstRowLastColumn="0" w:lastRowFirstColumn="0" w:lastRowLastColumn="0"/>
            <w:tcW w:w="1660" w:type="dxa"/>
            <w:vAlign w:val="center"/>
          </w:tcPr>
          <w:p w14:paraId="1F4D9274" w14:textId="77777777" w:rsidR="0036023C" w:rsidRPr="00113816" w:rsidRDefault="0036023C" w:rsidP="00DA7837">
            <w:pPr>
              <w:snapToGrid w:val="0"/>
              <w:spacing w:line="240" w:lineRule="exact"/>
              <w:jc w:val="center"/>
              <w:rPr>
                <w:color w:val="auto"/>
                <w:sz w:val="22"/>
                <w:szCs w:val="20"/>
              </w:rPr>
            </w:pPr>
            <w:r w:rsidRPr="00113816">
              <w:rPr>
                <w:color w:val="auto"/>
                <w:sz w:val="22"/>
                <w:szCs w:val="20"/>
              </w:rPr>
              <w:t>No suicidality</w:t>
            </w:r>
          </w:p>
        </w:tc>
        <w:tc>
          <w:tcPr>
            <w:tcW w:w="1660" w:type="dxa"/>
            <w:vAlign w:val="center"/>
          </w:tcPr>
          <w:p w14:paraId="7DF832CB" w14:textId="77777777" w:rsidR="0036023C" w:rsidRPr="00113816" w:rsidRDefault="0036023C" w:rsidP="00DA7837">
            <w:pPr>
              <w:snapToGrid w:val="0"/>
              <w:spacing w:line="240" w:lineRule="exact"/>
              <w:jc w:val="center"/>
              <w:cnfStyle w:val="000000100000" w:firstRow="0" w:lastRow="0" w:firstColumn="0" w:lastColumn="0" w:oddVBand="0" w:evenVBand="0" w:oddHBand="1" w:evenHBand="0" w:firstRowFirstColumn="0" w:firstRowLastColumn="0" w:lastRowFirstColumn="0" w:lastRowLastColumn="0"/>
              <w:rPr>
                <w:sz w:val="22"/>
                <w:szCs w:val="20"/>
              </w:rPr>
            </w:pPr>
            <w:r w:rsidRPr="00113816">
              <w:rPr>
                <w:rFonts w:hint="eastAsia"/>
                <w:sz w:val="22"/>
                <w:szCs w:val="20"/>
              </w:rPr>
              <w:t>43.7 (13.9)</w:t>
            </w:r>
          </w:p>
        </w:tc>
        <w:tc>
          <w:tcPr>
            <w:tcW w:w="1661" w:type="dxa"/>
            <w:vAlign w:val="center"/>
          </w:tcPr>
          <w:p w14:paraId="35C1A0F7" w14:textId="77777777" w:rsidR="0036023C" w:rsidRPr="00113816" w:rsidRDefault="0036023C" w:rsidP="00DA7837">
            <w:pPr>
              <w:snapToGrid w:val="0"/>
              <w:spacing w:line="240" w:lineRule="exact"/>
              <w:jc w:val="center"/>
              <w:cnfStyle w:val="000000100000" w:firstRow="0" w:lastRow="0" w:firstColumn="0" w:lastColumn="0" w:oddVBand="0" w:evenVBand="0" w:oddHBand="1" w:evenHBand="0" w:firstRowFirstColumn="0" w:firstRowLastColumn="0" w:lastRowFirstColumn="0" w:lastRowLastColumn="0"/>
              <w:rPr>
                <w:sz w:val="22"/>
                <w:szCs w:val="20"/>
              </w:rPr>
            </w:pPr>
            <w:r w:rsidRPr="00113816">
              <w:rPr>
                <w:rFonts w:hint="eastAsia"/>
                <w:sz w:val="22"/>
                <w:szCs w:val="20"/>
              </w:rPr>
              <w:t>14/23</w:t>
            </w:r>
          </w:p>
        </w:tc>
        <w:tc>
          <w:tcPr>
            <w:tcW w:w="1660" w:type="dxa"/>
            <w:vAlign w:val="center"/>
          </w:tcPr>
          <w:p w14:paraId="6048EA16" w14:textId="77777777" w:rsidR="0036023C" w:rsidRPr="00113816" w:rsidRDefault="0036023C" w:rsidP="00DA7837">
            <w:pPr>
              <w:snapToGrid w:val="0"/>
              <w:spacing w:line="240" w:lineRule="exact"/>
              <w:jc w:val="center"/>
              <w:cnfStyle w:val="000000100000" w:firstRow="0" w:lastRow="0" w:firstColumn="0" w:lastColumn="0" w:oddVBand="0" w:evenVBand="0" w:oddHBand="1" w:evenHBand="0" w:firstRowFirstColumn="0" w:firstRowLastColumn="0" w:lastRowFirstColumn="0" w:lastRowLastColumn="0"/>
              <w:rPr>
                <w:sz w:val="22"/>
                <w:szCs w:val="20"/>
              </w:rPr>
            </w:pPr>
            <w:r w:rsidRPr="00113816">
              <w:rPr>
                <w:rFonts w:hint="eastAsia"/>
                <w:sz w:val="22"/>
                <w:szCs w:val="20"/>
              </w:rPr>
              <w:t>14.0 (6.8)</w:t>
            </w:r>
          </w:p>
        </w:tc>
        <w:tc>
          <w:tcPr>
            <w:tcW w:w="1661" w:type="dxa"/>
            <w:vAlign w:val="center"/>
          </w:tcPr>
          <w:p w14:paraId="68493D55" w14:textId="77777777" w:rsidR="0036023C" w:rsidRPr="00113816" w:rsidRDefault="0036023C" w:rsidP="00DA7837">
            <w:pPr>
              <w:snapToGrid w:val="0"/>
              <w:spacing w:line="240" w:lineRule="exact"/>
              <w:jc w:val="center"/>
              <w:cnfStyle w:val="000000100000" w:firstRow="0" w:lastRow="0" w:firstColumn="0" w:lastColumn="0" w:oddVBand="0" w:evenVBand="0" w:oddHBand="1" w:evenHBand="0" w:firstRowFirstColumn="0" w:firstRowLastColumn="0" w:lastRowFirstColumn="0" w:lastRowLastColumn="0"/>
              <w:rPr>
                <w:sz w:val="22"/>
                <w:szCs w:val="20"/>
              </w:rPr>
            </w:pPr>
            <w:r w:rsidRPr="00113816">
              <w:rPr>
                <w:rFonts w:hint="eastAsia"/>
                <w:sz w:val="22"/>
                <w:szCs w:val="20"/>
              </w:rPr>
              <w:t>6.7 (1.8)</w:t>
            </w:r>
          </w:p>
        </w:tc>
      </w:tr>
      <w:tr w:rsidR="00113816" w:rsidRPr="00113816" w14:paraId="2950E9C2" w14:textId="77777777" w:rsidTr="00DA7837">
        <w:trPr>
          <w:trHeight w:val="460"/>
        </w:trPr>
        <w:tc>
          <w:tcPr>
            <w:cnfStyle w:val="001000000000" w:firstRow="0" w:lastRow="0" w:firstColumn="1" w:lastColumn="0" w:oddVBand="0" w:evenVBand="0" w:oddHBand="0" w:evenHBand="0" w:firstRowFirstColumn="0" w:firstRowLastColumn="0" w:lastRowFirstColumn="0" w:lastRowLastColumn="0"/>
            <w:tcW w:w="1660" w:type="dxa"/>
            <w:vAlign w:val="center"/>
          </w:tcPr>
          <w:p w14:paraId="3B88CABC" w14:textId="77777777" w:rsidR="0036023C" w:rsidRPr="00113816" w:rsidRDefault="0036023C" w:rsidP="00DA7837">
            <w:pPr>
              <w:snapToGrid w:val="0"/>
              <w:spacing w:line="240" w:lineRule="exact"/>
              <w:jc w:val="center"/>
              <w:rPr>
                <w:color w:val="auto"/>
                <w:sz w:val="22"/>
                <w:szCs w:val="20"/>
              </w:rPr>
            </w:pPr>
            <w:r w:rsidRPr="00113816">
              <w:rPr>
                <w:color w:val="auto"/>
                <w:sz w:val="22"/>
                <w:szCs w:val="20"/>
              </w:rPr>
              <w:t>Mild</w:t>
            </w:r>
          </w:p>
        </w:tc>
        <w:tc>
          <w:tcPr>
            <w:tcW w:w="1660" w:type="dxa"/>
            <w:vAlign w:val="center"/>
          </w:tcPr>
          <w:p w14:paraId="09D654F5" w14:textId="77777777" w:rsidR="0036023C" w:rsidRPr="00113816" w:rsidRDefault="0036023C" w:rsidP="00DA7837">
            <w:pPr>
              <w:snapToGrid w:val="0"/>
              <w:spacing w:line="240" w:lineRule="exact"/>
              <w:jc w:val="center"/>
              <w:cnfStyle w:val="000000000000" w:firstRow="0" w:lastRow="0" w:firstColumn="0" w:lastColumn="0" w:oddVBand="0" w:evenVBand="0" w:oddHBand="0" w:evenHBand="0" w:firstRowFirstColumn="0" w:firstRowLastColumn="0" w:lastRowFirstColumn="0" w:lastRowLastColumn="0"/>
              <w:rPr>
                <w:sz w:val="22"/>
                <w:szCs w:val="20"/>
              </w:rPr>
            </w:pPr>
            <w:r w:rsidRPr="00113816">
              <w:rPr>
                <w:rFonts w:hint="eastAsia"/>
                <w:sz w:val="22"/>
                <w:szCs w:val="20"/>
              </w:rPr>
              <w:t>40.5 (14.7)</w:t>
            </w:r>
          </w:p>
        </w:tc>
        <w:tc>
          <w:tcPr>
            <w:tcW w:w="1661" w:type="dxa"/>
            <w:vAlign w:val="center"/>
          </w:tcPr>
          <w:p w14:paraId="7E85F97E" w14:textId="77777777" w:rsidR="0036023C" w:rsidRPr="00113816" w:rsidRDefault="0036023C" w:rsidP="00DA7837">
            <w:pPr>
              <w:snapToGrid w:val="0"/>
              <w:spacing w:line="240" w:lineRule="exact"/>
              <w:jc w:val="center"/>
              <w:cnfStyle w:val="000000000000" w:firstRow="0" w:lastRow="0" w:firstColumn="0" w:lastColumn="0" w:oddVBand="0" w:evenVBand="0" w:oddHBand="0" w:evenHBand="0" w:firstRowFirstColumn="0" w:firstRowLastColumn="0" w:lastRowFirstColumn="0" w:lastRowLastColumn="0"/>
              <w:rPr>
                <w:sz w:val="22"/>
                <w:szCs w:val="20"/>
              </w:rPr>
            </w:pPr>
            <w:r w:rsidRPr="00113816">
              <w:rPr>
                <w:rFonts w:hint="eastAsia"/>
                <w:sz w:val="22"/>
                <w:szCs w:val="20"/>
              </w:rPr>
              <w:t>22/26</w:t>
            </w:r>
          </w:p>
        </w:tc>
        <w:tc>
          <w:tcPr>
            <w:tcW w:w="1660" w:type="dxa"/>
            <w:vAlign w:val="center"/>
          </w:tcPr>
          <w:p w14:paraId="74C14357" w14:textId="77777777" w:rsidR="0036023C" w:rsidRPr="00113816" w:rsidRDefault="0036023C" w:rsidP="00DA7837">
            <w:pPr>
              <w:snapToGrid w:val="0"/>
              <w:spacing w:line="240" w:lineRule="exact"/>
              <w:jc w:val="center"/>
              <w:cnfStyle w:val="000000000000" w:firstRow="0" w:lastRow="0" w:firstColumn="0" w:lastColumn="0" w:oddVBand="0" w:evenVBand="0" w:oddHBand="0" w:evenHBand="0" w:firstRowFirstColumn="0" w:firstRowLastColumn="0" w:lastRowFirstColumn="0" w:lastRowLastColumn="0"/>
              <w:rPr>
                <w:sz w:val="22"/>
                <w:szCs w:val="20"/>
              </w:rPr>
            </w:pPr>
            <w:r w:rsidRPr="00113816">
              <w:rPr>
                <w:rFonts w:hint="eastAsia"/>
                <w:sz w:val="22"/>
                <w:szCs w:val="20"/>
              </w:rPr>
              <w:t>19.4 (5.2)</w:t>
            </w:r>
          </w:p>
        </w:tc>
        <w:tc>
          <w:tcPr>
            <w:tcW w:w="1661" w:type="dxa"/>
            <w:vAlign w:val="center"/>
          </w:tcPr>
          <w:p w14:paraId="35416874" w14:textId="77777777" w:rsidR="0036023C" w:rsidRPr="00113816" w:rsidRDefault="0036023C" w:rsidP="00DA7837">
            <w:pPr>
              <w:snapToGrid w:val="0"/>
              <w:spacing w:line="240" w:lineRule="exact"/>
              <w:jc w:val="center"/>
              <w:cnfStyle w:val="000000000000" w:firstRow="0" w:lastRow="0" w:firstColumn="0" w:lastColumn="0" w:oddVBand="0" w:evenVBand="0" w:oddHBand="0" w:evenHBand="0" w:firstRowFirstColumn="0" w:firstRowLastColumn="0" w:lastRowFirstColumn="0" w:lastRowLastColumn="0"/>
              <w:rPr>
                <w:sz w:val="22"/>
                <w:szCs w:val="20"/>
              </w:rPr>
            </w:pPr>
            <w:r w:rsidRPr="00113816">
              <w:rPr>
                <w:rFonts w:hint="eastAsia"/>
                <w:sz w:val="22"/>
                <w:szCs w:val="20"/>
              </w:rPr>
              <w:t>8.2 (1.8)</w:t>
            </w:r>
          </w:p>
        </w:tc>
      </w:tr>
      <w:tr w:rsidR="00113816" w:rsidRPr="00113816" w14:paraId="57038591" w14:textId="77777777" w:rsidTr="00DA7837">
        <w:trPr>
          <w:cnfStyle w:val="000000100000" w:firstRow="0" w:lastRow="0" w:firstColumn="0" w:lastColumn="0" w:oddVBand="0" w:evenVBand="0" w:oddHBand="1" w:evenHBand="0" w:firstRowFirstColumn="0" w:firstRowLastColumn="0" w:lastRowFirstColumn="0" w:lastRowLastColumn="0"/>
          <w:trHeight w:val="460"/>
        </w:trPr>
        <w:tc>
          <w:tcPr>
            <w:cnfStyle w:val="001000000000" w:firstRow="0" w:lastRow="0" w:firstColumn="1" w:lastColumn="0" w:oddVBand="0" w:evenVBand="0" w:oddHBand="0" w:evenHBand="0" w:firstRowFirstColumn="0" w:firstRowLastColumn="0" w:lastRowFirstColumn="0" w:lastRowLastColumn="0"/>
            <w:tcW w:w="1660" w:type="dxa"/>
            <w:vAlign w:val="center"/>
          </w:tcPr>
          <w:p w14:paraId="2024731F" w14:textId="77777777" w:rsidR="0036023C" w:rsidRPr="00113816" w:rsidRDefault="0036023C" w:rsidP="00DA7837">
            <w:pPr>
              <w:snapToGrid w:val="0"/>
              <w:spacing w:line="240" w:lineRule="exact"/>
              <w:jc w:val="center"/>
              <w:rPr>
                <w:color w:val="auto"/>
                <w:sz w:val="22"/>
                <w:szCs w:val="20"/>
              </w:rPr>
            </w:pPr>
            <w:r w:rsidRPr="00113816">
              <w:rPr>
                <w:color w:val="auto"/>
                <w:sz w:val="22"/>
                <w:szCs w:val="20"/>
              </w:rPr>
              <w:t>Moderate</w:t>
            </w:r>
          </w:p>
        </w:tc>
        <w:tc>
          <w:tcPr>
            <w:tcW w:w="1660" w:type="dxa"/>
            <w:vAlign w:val="center"/>
          </w:tcPr>
          <w:p w14:paraId="31613638" w14:textId="77777777" w:rsidR="0036023C" w:rsidRPr="00113816" w:rsidRDefault="0036023C" w:rsidP="00DA7837">
            <w:pPr>
              <w:snapToGrid w:val="0"/>
              <w:spacing w:line="240" w:lineRule="exact"/>
              <w:jc w:val="center"/>
              <w:cnfStyle w:val="000000100000" w:firstRow="0" w:lastRow="0" w:firstColumn="0" w:lastColumn="0" w:oddVBand="0" w:evenVBand="0" w:oddHBand="1" w:evenHBand="0" w:firstRowFirstColumn="0" w:firstRowLastColumn="0" w:lastRowFirstColumn="0" w:lastRowLastColumn="0"/>
              <w:rPr>
                <w:sz w:val="22"/>
                <w:szCs w:val="20"/>
              </w:rPr>
            </w:pPr>
            <w:r w:rsidRPr="00113816">
              <w:rPr>
                <w:rFonts w:hint="eastAsia"/>
                <w:sz w:val="22"/>
                <w:szCs w:val="20"/>
              </w:rPr>
              <w:t>35.4 (14.1)</w:t>
            </w:r>
          </w:p>
        </w:tc>
        <w:tc>
          <w:tcPr>
            <w:tcW w:w="1661" w:type="dxa"/>
            <w:vAlign w:val="center"/>
          </w:tcPr>
          <w:p w14:paraId="7969C088" w14:textId="77777777" w:rsidR="0036023C" w:rsidRPr="00113816" w:rsidRDefault="0036023C" w:rsidP="00DA7837">
            <w:pPr>
              <w:snapToGrid w:val="0"/>
              <w:spacing w:line="240" w:lineRule="exact"/>
              <w:jc w:val="center"/>
              <w:cnfStyle w:val="000000100000" w:firstRow="0" w:lastRow="0" w:firstColumn="0" w:lastColumn="0" w:oddVBand="0" w:evenVBand="0" w:oddHBand="1" w:evenHBand="0" w:firstRowFirstColumn="0" w:firstRowLastColumn="0" w:lastRowFirstColumn="0" w:lastRowLastColumn="0"/>
              <w:rPr>
                <w:sz w:val="22"/>
                <w:szCs w:val="20"/>
              </w:rPr>
            </w:pPr>
            <w:r w:rsidRPr="00113816">
              <w:rPr>
                <w:rFonts w:hint="eastAsia"/>
                <w:sz w:val="22"/>
                <w:szCs w:val="20"/>
              </w:rPr>
              <w:t>32/58</w:t>
            </w:r>
          </w:p>
        </w:tc>
        <w:tc>
          <w:tcPr>
            <w:tcW w:w="1660" w:type="dxa"/>
            <w:vAlign w:val="center"/>
          </w:tcPr>
          <w:p w14:paraId="690C1877" w14:textId="77777777" w:rsidR="0036023C" w:rsidRPr="00113816" w:rsidRDefault="0036023C" w:rsidP="00DA7837">
            <w:pPr>
              <w:snapToGrid w:val="0"/>
              <w:spacing w:line="240" w:lineRule="exact"/>
              <w:jc w:val="center"/>
              <w:cnfStyle w:val="000000100000" w:firstRow="0" w:lastRow="0" w:firstColumn="0" w:lastColumn="0" w:oddVBand="0" w:evenVBand="0" w:oddHBand="1" w:evenHBand="0" w:firstRowFirstColumn="0" w:firstRowLastColumn="0" w:lastRowFirstColumn="0" w:lastRowLastColumn="0"/>
              <w:rPr>
                <w:sz w:val="22"/>
                <w:szCs w:val="20"/>
              </w:rPr>
            </w:pPr>
            <w:r w:rsidRPr="00113816">
              <w:rPr>
                <w:rFonts w:hint="eastAsia"/>
                <w:sz w:val="22"/>
                <w:szCs w:val="20"/>
              </w:rPr>
              <w:t>23.0 (5.9)</w:t>
            </w:r>
          </w:p>
        </w:tc>
        <w:tc>
          <w:tcPr>
            <w:tcW w:w="1661" w:type="dxa"/>
            <w:vAlign w:val="center"/>
          </w:tcPr>
          <w:p w14:paraId="10137F33" w14:textId="77777777" w:rsidR="0036023C" w:rsidRPr="00113816" w:rsidRDefault="0036023C" w:rsidP="00DA7837">
            <w:pPr>
              <w:snapToGrid w:val="0"/>
              <w:spacing w:line="240" w:lineRule="exact"/>
              <w:jc w:val="center"/>
              <w:cnfStyle w:val="000000100000" w:firstRow="0" w:lastRow="0" w:firstColumn="0" w:lastColumn="0" w:oddVBand="0" w:evenVBand="0" w:oddHBand="1" w:evenHBand="0" w:firstRowFirstColumn="0" w:firstRowLastColumn="0" w:lastRowFirstColumn="0" w:lastRowLastColumn="0"/>
              <w:rPr>
                <w:sz w:val="22"/>
                <w:szCs w:val="20"/>
              </w:rPr>
            </w:pPr>
            <w:r w:rsidRPr="00113816">
              <w:rPr>
                <w:rFonts w:hint="eastAsia"/>
                <w:sz w:val="22"/>
                <w:szCs w:val="20"/>
              </w:rPr>
              <w:t>8.8 (1.9)</w:t>
            </w:r>
          </w:p>
        </w:tc>
      </w:tr>
      <w:tr w:rsidR="00113816" w:rsidRPr="00113816" w14:paraId="7D0DBF81" w14:textId="77777777" w:rsidTr="00DA7837">
        <w:trPr>
          <w:trHeight w:val="460"/>
        </w:trPr>
        <w:tc>
          <w:tcPr>
            <w:cnfStyle w:val="001000000000" w:firstRow="0" w:lastRow="0" w:firstColumn="1" w:lastColumn="0" w:oddVBand="0" w:evenVBand="0" w:oddHBand="0" w:evenHBand="0" w:firstRowFirstColumn="0" w:firstRowLastColumn="0" w:lastRowFirstColumn="0" w:lastRowLastColumn="0"/>
            <w:tcW w:w="1660" w:type="dxa"/>
            <w:vAlign w:val="center"/>
          </w:tcPr>
          <w:p w14:paraId="3D27F4CD" w14:textId="77777777" w:rsidR="0036023C" w:rsidRPr="00113816" w:rsidRDefault="0036023C" w:rsidP="00DA7837">
            <w:pPr>
              <w:snapToGrid w:val="0"/>
              <w:spacing w:line="240" w:lineRule="exact"/>
              <w:jc w:val="center"/>
              <w:rPr>
                <w:color w:val="auto"/>
                <w:sz w:val="22"/>
                <w:szCs w:val="20"/>
              </w:rPr>
            </w:pPr>
            <w:r w:rsidRPr="00113816">
              <w:rPr>
                <w:color w:val="auto"/>
                <w:sz w:val="22"/>
                <w:szCs w:val="20"/>
              </w:rPr>
              <w:t>Severe</w:t>
            </w:r>
          </w:p>
        </w:tc>
        <w:tc>
          <w:tcPr>
            <w:tcW w:w="1660" w:type="dxa"/>
            <w:vAlign w:val="center"/>
          </w:tcPr>
          <w:p w14:paraId="40E7303E" w14:textId="77777777" w:rsidR="0036023C" w:rsidRPr="00113816" w:rsidRDefault="0036023C" w:rsidP="00DA7837">
            <w:pPr>
              <w:snapToGrid w:val="0"/>
              <w:spacing w:line="240" w:lineRule="exact"/>
              <w:jc w:val="center"/>
              <w:cnfStyle w:val="000000000000" w:firstRow="0" w:lastRow="0" w:firstColumn="0" w:lastColumn="0" w:oddVBand="0" w:evenVBand="0" w:oddHBand="0" w:evenHBand="0" w:firstRowFirstColumn="0" w:firstRowLastColumn="0" w:lastRowFirstColumn="0" w:lastRowLastColumn="0"/>
              <w:rPr>
                <w:sz w:val="22"/>
                <w:szCs w:val="20"/>
              </w:rPr>
            </w:pPr>
            <w:r w:rsidRPr="00113816">
              <w:rPr>
                <w:rFonts w:hint="eastAsia"/>
                <w:sz w:val="22"/>
                <w:szCs w:val="20"/>
              </w:rPr>
              <w:t>35.3 (14.0)</w:t>
            </w:r>
          </w:p>
        </w:tc>
        <w:tc>
          <w:tcPr>
            <w:tcW w:w="1661" w:type="dxa"/>
            <w:vAlign w:val="center"/>
          </w:tcPr>
          <w:p w14:paraId="00329737" w14:textId="77777777" w:rsidR="0036023C" w:rsidRPr="00113816" w:rsidRDefault="0036023C" w:rsidP="00DA7837">
            <w:pPr>
              <w:snapToGrid w:val="0"/>
              <w:spacing w:line="240" w:lineRule="exact"/>
              <w:jc w:val="center"/>
              <w:cnfStyle w:val="000000000000" w:firstRow="0" w:lastRow="0" w:firstColumn="0" w:lastColumn="0" w:oddVBand="0" w:evenVBand="0" w:oddHBand="0" w:evenHBand="0" w:firstRowFirstColumn="0" w:firstRowLastColumn="0" w:lastRowFirstColumn="0" w:lastRowLastColumn="0"/>
              <w:rPr>
                <w:sz w:val="22"/>
                <w:szCs w:val="20"/>
              </w:rPr>
            </w:pPr>
            <w:r w:rsidRPr="00113816">
              <w:rPr>
                <w:rFonts w:hint="eastAsia"/>
                <w:sz w:val="22"/>
                <w:szCs w:val="20"/>
              </w:rPr>
              <w:t>13/15</w:t>
            </w:r>
          </w:p>
        </w:tc>
        <w:tc>
          <w:tcPr>
            <w:tcW w:w="1660" w:type="dxa"/>
            <w:vAlign w:val="center"/>
          </w:tcPr>
          <w:p w14:paraId="2FDFC08B" w14:textId="77777777" w:rsidR="0036023C" w:rsidRPr="00113816" w:rsidRDefault="0036023C" w:rsidP="00DA7837">
            <w:pPr>
              <w:snapToGrid w:val="0"/>
              <w:spacing w:line="240" w:lineRule="exact"/>
              <w:jc w:val="center"/>
              <w:cnfStyle w:val="000000000000" w:firstRow="0" w:lastRow="0" w:firstColumn="0" w:lastColumn="0" w:oddVBand="0" w:evenVBand="0" w:oddHBand="0" w:evenHBand="0" w:firstRowFirstColumn="0" w:firstRowLastColumn="0" w:lastRowFirstColumn="0" w:lastRowLastColumn="0"/>
              <w:rPr>
                <w:sz w:val="22"/>
                <w:szCs w:val="20"/>
              </w:rPr>
            </w:pPr>
            <w:r w:rsidRPr="00113816">
              <w:rPr>
                <w:rFonts w:hint="eastAsia"/>
                <w:sz w:val="22"/>
                <w:szCs w:val="20"/>
              </w:rPr>
              <w:t>26.8 (6.2)</w:t>
            </w:r>
          </w:p>
        </w:tc>
        <w:tc>
          <w:tcPr>
            <w:tcW w:w="1661" w:type="dxa"/>
            <w:vAlign w:val="center"/>
          </w:tcPr>
          <w:p w14:paraId="35EA6ABE" w14:textId="77777777" w:rsidR="0036023C" w:rsidRPr="00113816" w:rsidRDefault="0036023C" w:rsidP="00DA7837">
            <w:pPr>
              <w:snapToGrid w:val="0"/>
              <w:spacing w:line="240" w:lineRule="exact"/>
              <w:jc w:val="center"/>
              <w:cnfStyle w:val="000000000000" w:firstRow="0" w:lastRow="0" w:firstColumn="0" w:lastColumn="0" w:oddVBand="0" w:evenVBand="0" w:oddHBand="0" w:evenHBand="0" w:firstRowFirstColumn="0" w:firstRowLastColumn="0" w:lastRowFirstColumn="0" w:lastRowLastColumn="0"/>
              <w:rPr>
                <w:sz w:val="22"/>
                <w:szCs w:val="20"/>
              </w:rPr>
            </w:pPr>
            <w:r w:rsidRPr="00113816">
              <w:rPr>
                <w:rFonts w:hint="eastAsia"/>
                <w:sz w:val="22"/>
                <w:szCs w:val="20"/>
              </w:rPr>
              <w:t>9.4 (2.1)</w:t>
            </w:r>
          </w:p>
        </w:tc>
      </w:tr>
      <w:tr w:rsidR="00113816" w:rsidRPr="00113816" w14:paraId="52784D2D" w14:textId="77777777" w:rsidTr="00DA7837">
        <w:trPr>
          <w:cnfStyle w:val="000000100000" w:firstRow="0" w:lastRow="0" w:firstColumn="0" w:lastColumn="0" w:oddVBand="0" w:evenVBand="0" w:oddHBand="1" w:evenHBand="0" w:firstRowFirstColumn="0" w:firstRowLastColumn="0" w:lastRowFirstColumn="0" w:lastRowLastColumn="0"/>
          <w:trHeight w:val="513"/>
        </w:trPr>
        <w:tc>
          <w:tcPr>
            <w:cnfStyle w:val="001000000000" w:firstRow="0" w:lastRow="0" w:firstColumn="1" w:lastColumn="0" w:oddVBand="0" w:evenVBand="0" w:oddHBand="0" w:evenHBand="0" w:firstRowFirstColumn="0" w:firstRowLastColumn="0" w:lastRowFirstColumn="0" w:lastRowLastColumn="0"/>
            <w:tcW w:w="1660" w:type="dxa"/>
            <w:vAlign w:val="center"/>
          </w:tcPr>
          <w:p w14:paraId="1378B8D1" w14:textId="77777777" w:rsidR="0036023C" w:rsidRPr="00113816" w:rsidRDefault="0036023C" w:rsidP="00DA7837">
            <w:pPr>
              <w:snapToGrid w:val="0"/>
              <w:spacing w:line="240" w:lineRule="exact"/>
              <w:jc w:val="center"/>
              <w:rPr>
                <w:color w:val="auto"/>
                <w:sz w:val="22"/>
                <w:szCs w:val="20"/>
              </w:rPr>
            </w:pPr>
            <w:r w:rsidRPr="00113816">
              <w:rPr>
                <w:color w:val="auto"/>
                <w:sz w:val="22"/>
                <w:szCs w:val="20"/>
              </w:rPr>
              <w:t>Profound</w:t>
            </w:r>
          </w:p>
        </w:tc>
        <w:tc>
          <w:tcPr>
            <w:tcW w:w="1660" w:type="dxa"/>
            <w:vAlign w:val="center"/>
          </w:tcPr>
          <w:p w14:paraId="1956F4A2" w14:textId="77777777" w:rsidR="0036023C" w:rsidRPr="00113816" w:rsidRDefault="0036023C" w:rsidP="00DA7837">
            <w:pPr>
              <w:snapToGrid w:val="0"/>
              <w:spacing w:line="240" w:lineRule="exact"/>
              <w:jc w:val="center"/>
              <w:cnfStyle w:val="000000100000" w:firstRow="0" w:lastRow="0" w:firstColumn="0" w:lastColumn="0" w:oddVBand="0" w:evenVBand="0" w:oddHBand="1" w:evenHBand="0" w:firstRowFirstColumn="0" w:firstRowLastColumn="0" w:lastRowFirstColumn="0" w:lastRowLastColumn="0"/>
              <w:rPr>
                <w:sz w:val="22"/>
                <w:szCs w:val="20"/>
              </w:rPr>
            </w:pPr>
            <w:r w:rsidRPr="00113816">
              <w:rPr>
                <w:rFonts w:hint="eastAsia"/>
                <w:sz w:val="22"/>
                <w:szCs w:val="20"/>
              </w:rPr>
              <w:t>38.3 (15.2)</w:t>
            </w:r>
          </w:p>
        </w:tc>
        <w:tc>
          <w:tcPr>
            <w:tcW w:w="1661" w:type="dxa"/>
            <w:vAlign w:val="center"/>
          </w:tcPr>
          <w:p w14:paraId="37F3A200" w14:textId="77777777" w:rsidR="0036023C" w:rsidRPr="00113816" w:rsidRDefault="0036023C" w:rsidP="00DA7837">
            <w:pPr>
              <w:snapToGrid w:val="0"/>
              <w:spacing w:line="240" w:lineRule="exact"/>
              <w:jc w:val="center"/>
              <w:cnfStyle w:val="000000100000" w:firstRow="0" w:lastRow="0" w:firstColumn="0" w:lastColumn="0" w:oddVBand="0" w:evenVBand="0" w:oddHBand="1" w:evenHBand="0" w:firstRowFirstColumn="0" w:firstRowLastColumn="0" w:lastRowFirstColumn="0" w:lastRowLastColumn="0"/>
              <w:rPr>
                <w:sz w:val="22"/>
                <w:szCs w:val="20"/>
              </w:rPr>
            </w:pPr>
            <w:r w:rsidRPr="00113816">
              <w:rPr>
                <w:rFonts w:hint="eastAsia"/>
                <w:sz w:val="22"/>
                <w:szCs w:val="20"/>
              </w:rPr>
              <w:t>4/2</w:t>
            </w:r>
          </w:p>
        </w:tc>
        <w:tc>
          <w:tcPr>
            <w:tcW w:w="1660" w:type="dxa"/>
            <w:vAlign w:val="center"/>
          </w:tcPr>
          <w:p w14:paraId="189AA7DA" w14:textId="77777777" w:rsidR="0036023C" w:rsidRPr="00113816" w:rsidRDefault="0036023C" w:rsidP="00DA7837">
            <w:pPr>
              <w:snapToGrid w:val="0"/>
              <w:spacing w:line="240" w:lineRule="exact"/>
              <w:jc w:val="center"/>
              <w:cnfStyle w:val="000000100000" w:firstRow="0" w:lastRow="0" w:firstColumn="0" w:lastColumn="0" w:oddVBand="0" w:evenVBand="0" w:oddHBand="1" w:evenHBand="0" w:firstRowFirstColumn="0" w:firstRowLastColumn="0" w:lastRowFirstColumn="0" w:lastRowLastColumn="0"/>
              <w:rPr>
                <w:sz w:val="22"/>
                <w:szCs w:val="20"/>
              </w:rPr>
            </w:pPr>
            <w:r w:rsidRPr="00113816">
              <w:rPr>
                <w:rFonts w:hint="eastAsia"/>
                <w:sz w:val="22"/>
                <w:szCs w:val="20"/>
              </w:rPr>
              <w:t>27.8 (3.6)</w:t>
            </w:r>
          </w:p>
        </w:tc>
        <w:tc>
          <w:tcPr>
            <w:tcW w:w="1661" w:type="dxa"/>
            <w:vAlign w:val="center"/>
          </w:tcPr>
          <w:p w14:paraId="00262579" w14:textId="77777777" w:rsidR="0036023C" w:rsidRPr="00113816" w:rsidRDefault="0036023C" w:rsidP="00DA7837">
            <w:pPr>
              <w:snapToGrid w:val="0"/>
              <w:spacing w:line="240" w:lineRule="exact"/>
              <w:jc w:val="center"/>
              <w:cnfStyle w:val="000000100000" w:firstRow="0" w:lastRow="0" w:firstColumn="0" w:lastColumn="0" w:oddVBand="0" w:evenVBand="0" w:oddHBand="1" w:evenHBand="0" w:firstRowFirstColumn="0" w:firstRowLastColumn="0" w:lastRowFirstColumn="0" w:lastRowLastColumn="0"/>
              <w:rPr>
                <w:sz w:val="22"/>
                <w:szCs w:val="20"/>
              </w:rPr>
            </w:pPr>
            <w:r w:rsidRPr="00113816">
              <w:rPr>
                <w:rFonts w:hint="eastAsia"/>
                <w:sz w:val="22"/>
                <w:szCs w:val="20"/>
              </w:rPr>
              <w:t>10.7 (1.9)</w:t>
            </w:r>
          </w:p>
        </w:tc>
      </w:tr>
      <w:tr w:rsidR="00113816" w:rsidRPr="00113816" w14:paraId="3FB07E09" w14:textId="77777777" w:rsidTr="00DA7837">
        <w:trPr>
          <w:trHeight w:val="387"/>
        </w:trPr>
        <w:tc>
          <w:tcPr>
            <w:cnfStyle w:val="001000000000" w:firstRow="0" w:lastRow="0" w:firstColumn="1" w:lastColumn="0" w:oddVBand="0" w:evenVBand="0" w:oddHBand="0" w:evenHBand="0" w:firstRowFirstColumn="0" w:firstRowLastColumn="0" w:lastRowFirstColumn="0" w:lastRowLastColumn="0"/>
            <w:tcW w:w="1660" w:type="dxa"/>
            <w:vAlign w:val="center"/>
          </w:tcPr>
          <w:p w14:paraId="6C35965B" w14:textId="77777777" w:rsidR="0036023C" w:rsidRPr="00113816" w:rsidRDefault="0036023C" w:rsidP="00DA7837">
            <w:pPr>
              <w:snapToGrid w:val="0"/>
              <w:spacing w:line="240" w:lineRule="exact"/>
              <w:jc w:val="center"/>
              <w:rPr>
                <w:color w:val="auto"/>
                <w:sz w:val="22"/>
                <w:szCs w:val="20"/>
              </w:rPr>
            </w:pPr>
            <w:r w:rsidRPr="00113816">
              <w:rPr>
                <w:rFonts w:hint="eastAsia"/>
                <w:color w:val="auto"/>
                <w:sz w:val="22"/>
                <w:szCs w:val="20"/>
              </w:rPr>
              <w:t xml:space="preserve">F or </w:t>
            </w:r>
            <w:r w:rsidRPr="00113816">
              <w:rPr>
                <w:rFonts w:hint="eastAsia"/>
                <w:i/>
                <w:iCs/>
                <w:color w:val="auto"/>
                <w:sz w:val="22"/>
                <w:szCs w:val="20"/>
              </w:rPr>
              <w:t>x</w:t>
            </w:r>
            <w:r w:rsidRPr="00113816">
              <w:rPr>
                <w:rFonts w:hint="eastAsia"/>
                <w:color w:val="auto"/>
                <w:sz w:val="22"/>
                <w:szCs w:val="20"/>
                <w:vertAlign w:val="superscript"/>
              </w:rPr>
              <w:t>2</w:t>
            </w:r>
            <w:r w:rsidRPr="00113816">
              <w:rPr>
                <w:rFonts w:hint="eastAsia"/>
                <w:color w:val="auto"/>
                <w:sz w:val="22"/>
                <w:szCs w:val="20"/>
              </w:rPr>
              <w:t>/p-value</w:t>
            </w:r>
          </w:p>
        </w:tc>
        <w:tc>
          <w:tcPr>
            <w:tcW w:w="1660" w:type="dxa"/>
            <w:vAlign w:val="center"/>
          </w:tcPr>
          <w:p w14:paraId="5ED61592" w14:textId="77777777" w:rsidR="0036023C" w:rsidRPr="00113816" w:rsidRDefault="0036023C" w:rsidP="00DA7837">
            <w:pPr>
              <w:snapToGrid w:val="0"/>
              <w:spacing w:line="240" w:lineRule="exact"/>
              <w:jc w:val="center"/>
              <w:cnfStyle w:val="000000000000" w:firstRow="0" w:lastRow="0" w:firstColumn="0" w:lastColumn="0" w:oddVBand="0" w:evenVBand="0" w:oddHBand="0" w:evenHBand="0" w:firstRowFirstColumn="0" w:firstRowLastColumn="0" w:lastRowFirstColumn="0" w:lastRowLastColumn="0"/>
              <w:rPr>
                <w:sz w:val="22"/>
                <w:szCs w:val="20"/>
              </w:rPr>
            </w:pPr>
            <w:r w:rsidRPr="00113816">
              <w:rPr>
                <w:rFonts w:hint="eastAsia"/>
                <w:sz w:val="22"/>
                <w:szCs w:val="20"/>
              </w:rPr>
              <w:t>3.01</w:t>
            </w:r>
            <w:r w:rsidRPr="00113816">
              <w:rPr>
                <w:rFonts w:hint="eastAsia"/>
                <w:vertAlign w:val="superscript"/>
              </w:rPr>
              <w:t>a</w:t>
            </w:r>
            <w:r w:rsidRPr="00113816">
              <w:rPr>
                <w:rFonts w:hint="eastAsia"/>
                <w:sz w:val="22"/>
                <w:szCs w:val="20"/>
              </w:rPr>
              <w:t xml:space="preserve"> /0.22</w:t>
            </w:r>
          </w:p>
        </w:tc>
        <w:tc>
          <w:tcPr>
            <w:tcW w:w="1661" w:type="dxa"/>
            <w:vAlign w:val="center"/>
          </w:tcPr>
          <w:p w14:paraId="56066D43" w14:textId="77777777" w:rsidR="0036023C" w:rsidRPr="00113816" w:rsidRDefault="0036023C" w:rsidP="00DA7837">
            <w:pPr>
              <w:snapToGrid w:val="0"/>
              <w:spacing w:line="240" w:lineRule="exact"/>
              <w:jc w:val="center"/>
              <w:cnfStyle w:val="000000000000" w:firstRow="0" w:lastRow="0" w:firstColumn="0" w:lastColumn="0" w:oddVBand="0" w:evenVBand="0" w:oddHBand="0" w:evenHBand="0" w:firstRowFirstColumn="0" w:firstRowLastColumn="0" w:lastRowFirstColumn="0" w:lastRowLastColumn="0"/>
              <w:rPr>
                <w:sz w:val="22"/>
                <w:szCs w:val="20"/>
              </w:rPr>
            </w:pPr>
            <w:r w:rsidRPr="00113816">
              <w:rPr>
                <w:rFonts w:hint="eastAsia"/>
                <w:sz w:val="22"/>
                <w:szCs w:val="20"/>
              </w:rPr>
              <w:t>3.69</w:t>
            </w:r>
            <w:r w:rsidRPr="00113816">
              <w:rPr>
                <w:rFonts w:hint="eastAsia"/>
                <w:vertAlign w:val="superscript"/>
              </w:rPr>
              <w:t>b</w:t>
            </w:r>
            <w:r w:rsidRPr="00113816">
              <w:rPr>
                <w:rFonts w:hint="eastAsia"/>
                <w:sz w:val="22"/>
                <w:szCs w:val="20"/>
              </w:rPr>
              <w:t xml:space="preserve"> /0.45</w:t>
            </w:r>
          </w:p>
        </w:tc>
        <w:tc>
          <w:tcPr>
            <w:tcW w:w="1660" w:type="dxa"/>
            <w:vAlign w:val="center"/>
          </w:tcPr>
          <w:p w14:paraId="4F9A7A68" w14:textId="77777777" w:rsidR="0036023C" w:rsidRPr="00113816" w:rsidRDefault="0036023C" w:rsidP="00DA7837">
            <w:pPr>
              <w:snapToGrid w:val="0"/>
              <w:spacing w:line="240" w:lineRule="exact"/>
              <w:jc w:val="center"/>
              <w:cnfStyle w:val="000000000000" w:firstRow="0" w:lastRow="0" w:firstColumn="0" w:lastColumn="0" w:oddVBand="0" w:evenVBand="0" w:oddHBand="0" w:evenHBand="0" w:firstRowFirstColumn="0" w:firstRowLastColumn="0" w:lastRowFirstColumn="0" w:lastRowLastColumn="0"/>
              <w:rPr>
                <w:sz w:val="22"/>
                <w:szCs w:val="20"/>
              </w:rPr>
            </w:pPr>
            <w:r w:rsidRPr="00113816">
              <w:rPr>
                <w:rFonts w:hint="eastAsia"/>
                <w:sz w:val="22"/>
                <w:szCs w:val="20"/>
              </w:rPr>
              <w:t>32.6</w:t>
            </w:r>
            <w:r w:rsidRPr="00113816">
              <w:rPr>
                <w:rFonts w:hint="eastAsia"/>
                <w:vertAlign w:val="superscript"/>
              </w:rPr>
              <w:t>a</w:t>
            </w:r>
            <w:r w:rsidRPr="00113816">
              <w:rPr>
                <w:rFonts w:hint="eastAsia"/>
                <w:sz w:val="22"/>
                <w:szCs w:val="20"/>
              </w:rPr>
              <w:t xml:space="preserve"> /&lt;0.001</w:t>
            </w:r>
          </w:p>
        </w:tc>
        <w:tc>
          <w:tcPr>
            <w:tcW w:w="1661" w:type="dxa"/>
            <w:vAlign w:val="center"/>
          </w:tcPr>
          <w:p w14:paraId="7456C42A" w14:textId="77777777" w:rsidR="0036023C" w:rsidRPr="00113816" w:rsidRDefault="0036023C" w:rsidP="00DA7837">
            <w:pPr>
              <w:snapToGrid w:val="0"/>
              <w:spacing w:line="240" w:lineRule="exact"/>
              <w:jc w:val="center"/>
              <w:cnfStyle w:val="000000000000" w:firstRow="0" w:lastRow="0" w:firstColumn="0" w:lastColumn="0" w:oddVBand="0" w:evenVBand="0" w:oddHBand="0" w:evenHBand="0" w:firstRowFirstColumn="0" w:firstRowLastColumn="0" w:lastRowFirstColumn="0" w:lastRowLastColumn="0"/>
              <w:rPr>
                <w:sz w:val="22"/>
                <w:szCs w:val="20"/>
              </w:rPr>
            </w:pPr>
            <w:r w:rsidRPr="00113816">
              <w:rPr>
                <w:rFonts w:hint="eastAsia"/>
                <w:sz w:val="22"/>
                <w:szCs w:val="20"/>
              </w:rPr>
              <w:t>10.7</w:t>
            </w:r>
            <w:r w:rsidRPr="00113816">
              <w:rPr>
                <w:rFonts w:hint="eastAsia"/>
                <w:vertAlign w:val="superscript"/>
              </w:rPr>
              <w:t>a</w:t>
            </w:r>
            <w:r w:rsidRPr="00113816">
              <w:rPr>
                <w:rFonts w:hint="eastAsia"/>
                <w:sz w:val="22"/>
                <w:szCs w:val="20"/>
              </w:rPr>
              <w:t xml:space="preserve"> /&lt;0.001</w:t>
            </w:r>
          </w:p>
        </w:tc>
      </w:tr>
    </w:tbl>
    <w:p w14:paraId="70E005FE" w14:textId="77777777" w:rsidR="0036023C" w:rsidRPr="00113816" w:rsidRDefault="0036023C" w:rsidP="0036023C">
      <w:pPr>
        <w:snapToGrid w:val="0"/>
      </w:pPr>
      <w:r w:rsidRPr="00113816">
        <w:rPr>
          <w:rFonts w:hint="eastAsia"/>
          <w:vertAlign w:val="superscript"/>
        </w:rPr>
        <w:t>a</w:t>
      </w:r>
      <w:r w:rsidRPr="00113816">
        <w:rPr>
          <w:rFonts w:hint="eastAsia"/>
        </w:rPr>
        <w:t xml:space="preserve"> </w:t>
      </w:r>
      <w:r w:rsidRPr="00113816">
        <w:t>one-way ANOVA</w:t>
      </w:r>
      <w:r w:rsidRPr="00113816">
        <w:rPr>
          <w:rFonts w:hint="eastAsia"/>
        </w:rPr>
        <w:t xml:space="preserve">; </w:t>
      </w:r>
      <w:r w:rsidRPr="00113816">
        <w:rPr>
          <w:rFonts w:hint="eastAsia"/>
          <w:vertAlign w:val="superscript"/>
        </w:rPr>
        <w:t>b</w:t>
      </w:r>
      <w:r w:rsidRPr="00113816">
        <w:rPr>
          <w:rFonts w:hint="eastAsia"/>
        </w:rPr>
        <w:t xml:space="preserve"> chi-square test</w:t>
      </w:r>
    </w:p>
    <w:p w14:paraId="1173EC96" w14:textId="01911296" w:rsidR="00A70EC7" w:rsidRDefault="00A70EC7" w:rsidP="00A70EC7">
      <w:pPr>
        <w:snapToGrid w:val="0"/>
      </w:pPr>
      <w:r>
        <w:rPr>
          <w:noProof/>
        </w:rPr>
        <w:lastRenderedPageBreak/>
        <w:drawing>
          <wp:inline distT="0" distB="0" distL="0" distR="0" wp14:anchorId="05C5D473" wp14:editId="7858CBD8">
            <wp:extent cx="5276850" cy="58864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6850" cy="5886450"/>
                    </a:xfrm>
                    <a:prstGeom prst="rect">
                      <a:avLst/>
                    </a:prstGeom>
                    <a:noFill/>
                    <a:ln>
                      <a:noFill/>
                    </a:ln>
                  </pic:spPr>
                </pic:pic>
              </a:graphicData>
            </a:graphic>
          </wp:inline>
        </w:drawing>
      </w:r>
    </w:p>
    <w:p w14:paraId="1079B7A5" w14:textId="706834AD" w:rsidR="00A70EC7" w:rsidRDefault="008C4220" w:rsidP="00A70EC7">
      <w:pPr>
        <w:widowControl/>
        <w:spacing w:line="240" w:lineRule="auto"/>
        <w:jc w:val="left"/>
        <w:rPr>
          <w:rFonts w:eastAsia="宋体"/>
          <w:kern w:val="0"/>
          <w:lang w:eastAsia="zh-CN"/>
        </w:rPr>
      </w:pPr>
      <w:bookmarkStart w:id="0" w:name="_GoBack"/>
      <w:r w:rsidRPr="008C4220">
        <w:rPr>
          <w:rFonts w:eastAsia="宋体"/>
          <w:kern w:val="0"/>
          <w:lang w:eastAsia="zh-CN"/>
        </w:rPr>
        <w:t>Supplementary</w:t>
      </w:r>
      <w:r>
        <w:rPr>
          <w:rFonts w:eastAsia="宋体"/>
          <w:kern w:val="0"/>
          <w:lang w:eastAsia="zh-CN"/>
        </w:rPr>
        <w:t xml:space="preserve"> </w:t>
      </w:r>
      <w:r w:rsidR="00A70EC7">
        <w:rPr>
          <w:rFonts w:eastAsia="宋体"/>
          <w:kern w:val="0"/>
          <w:lang w:eastAsia="zh-CN"/>
        </w:rPr>
        <w:t>Fig. 1</w:t>
      </w:r>
      <w:bookmarkEnd w:id="0"/>
      <w:r w:rsidR="00A70EC7">
        <w:rPr>
          <w:rFonts w:eastAsia="宋体"/>
          <w:kern w:val="0"/>
          <w:lang w:eastAsia="zh-CN"/>
        </w:rPr>
        <w:t>.</w:t>
      </w:r>
      <w:r w:rsidR="00A70EC7">
        <w:rPr>
          <w:rFonts w:eastAsia="宋体" w:hint="eastAsia"/>
          <w:kern w:val="0"/>
          <w:lang w:eastAsia="zh-CN"/>
        </w:rPr>
        <w:t xml:space="preserve"> </w:t>
      </w:r>
      <w:r w:rsidR="00A70EC7">
        <w:rPr>
          <w:rFonts w:eastAsia="宋体"/>
          <w:b/>
          <w:bCs/>
          <w:kern w:val="0"/>
          <w:lang w:eastAsia="zh-CN"/>
        </w:rPr>
        <w:t>Illustrative examples of nonlinear EEG feature extraction and distribution</w:t>
      </w:r>
      <w:r w:rsidR="00A70EC7">
        <w:rPr>
          <w:rFonts w:eastAsia="宋体"/>
          <w:kern w:val="0"/>
          <w:lang w:eastAsia="zh-CN"/>
        </w:rPr>
        <w:t>. (A) A representative raw EEG time series obtained from the frontal electrode (</w:t>
      </w:r>
      <w:proofErr w:type="spellStart"/>
      <w:r w:rsidR="00A70EC7">
        <w:rPr>
          <w:rFonts w:eastAsia="宋体"/>
          <w:kern w:val="0"/>
          <w:lang w:eastAsia="zh-CN"/>
        </w:rPr>
        <w:t>Fz</w:t>
      </w:r>
      <w:proofErr w:type="spellEnd"/>
      <w:r w:rsidR="00A70EC7">
        <w:rPr>
          <w:rFonts w:eastAsia="宋体"/>
          <w:kern w:val="0"/>
          <w:lang w:eastAsia="zh-CN"/>
        </w:rPr>
        <w:t xml:space="preserve">) before (Pre) and after (Post) the cognition-engaging task, demonstrating typical signal fluctuations used for nonlinear feature computation. (B) Example of </w:t>
      </w:r>
      <w:proofErr w:type="spellStart"/>
      <w:r w:rsidR="00A70EC7">
        <w:rPr>
          <w:rFonts w:eastAsia="宋体"/>
          <w:kern w:val="0"/>
          <w:lang w:eastAsia="zh-CN"/>
        </w:rPr>
        <w:t>dDetrended</w:t>
      </w:r>
      <w:proofErr w:type="spellEnd"/>
      <w:r w:rsidR="00A70EC7">
        <w:rPr>
          <w:rFonts w:eastAsia="宋体"/>
          <w:kern w:val="0"/>
          <w:lang w:eastAsia="zh-CN"/>
        </w:rPr>
        <w:t xml:space="preserve"> </w:t>
      </w:r>
      <w:proofErr w:type="spellStart"/>
      <w:r w:rsidR="00A70EC7">
        <w:rPr>
          <w:rFonts w:eastAsia="宋体"/>
          <w:kern w:val="0"/>
          <w:lang w:eastAsia="zh-CN"/>
        </w:rPr>
        <w:t>fFluctuation</w:t>
      </w:r>
      <w:proofErr w:type="spellEnd"/>
      <w:r w:rsidR="00A70EC7">
        <w:rPr>
          <w:rFonts w:eastAsia="宋体"/>
          <w:kern w:val="0"/>
          <w:lang w:eastAsia="zh-CN"/>
        </w:rPr>
        <w:t xml:space="preserve"> </w:t>
      </w:r>
      <w:proofErr w:type="spellStart"/>
      <w:r w:rsidR="00A70EC7">
        <w:rPr>
          <w:rFonts w:eastAsia="宋体"/>
          <w:kern w:val="0"/>
          <w:lang w:eastAsia="zh-CN"/>
        </w:rPr>
        <w:t>aAnalysis</w:t>
      </w:r>
      <w:proofErr w:type="spellEnd"/>
      <w:r w:rsidR="00A70EC7">
        <w:rPr>
          <w:rFonts w:eastAsia="宋体"/>
          <w:kern w:val="0"/>
          <w:lang w:eastAsia="zh-CN"/>
        </w:rPr>
        <w:t xml:space="preserve"> (DFA) scaling behavior in the alpha frequency band at the </w:t>
      </w:r>
      <w:proofErr w:type="spellStart"/>
      <w:r w:rsidR="00A70EC7">
        <w:rPr>
          <w:rFonts w:eastAsia="宋体"/>
          <w:kern w:val="0"/>
          <w:lang w:eastAsia="zh-CN"/>
        </w:rPr>
        <w:t>Fz</w:t>
      </w:r>
      <w:proofErr w:type="spellEnd"/>
      <w:r w:rsidR="00A70EC7">
        <w:rPr>
          <w:rFonts w:eastAsia="宋体"/>
          <w:kern w:val="0"/>
          <w:lang w:eastAsia="zh-CN"/>
        </w:rPr>
        <w:t xml:space="preserve"> electrode. The DFA exponent (α) is estimated from the slope of the linear relationship between log-transformed fluctuation magnitude </w:t>
      </w:r>
      <w:r w:rsidR="00A70EC7">
        <w:rPr>
          <w:rFonts w:ascii="Cambria Math" w:eastAsia="宋体" w:hAnsi="Cambria Math" w:cs="Cambria Math"/>
          <w:kern w:val="0"/>
          <w:lang w:eastAsia="zh-CN"/>
        </w:rPr>
        <w:t>𝐹</w:t>
      </w:r>
      <w:r w:rsidR="00A70EC7">
        <w:rPr>
          <w:rFonts w:eastAsia="宋体"/>
          <w:kern w:val="0"/>
          <w:lang w:eastAsia="zh-CN"/>
        </w:rPr>
        <w:t>(</w:t>
      </w:r>
      <w:r w:rsidR="00A70EC7">
        <w:rPr>
          <w:rFonts w:ascii="Cambria Math" w:eastAsia="宋体" w:hAnsi="Cambria Math" w:cs="Cambria Math"/>
          <w:kern w:val="0"/>
          <w:lang w:eastAsia="zh-CN"/>
        </w:rPr>
        <w:t>𝑛</w:t>
      </w:r>
      <w:r w:rsidR="00A70EC7">
        <w:rPr>
          <w:rFonts w:eastAsia="宋体"/>
          <w:kern w:val="0"/>
          <w:lang w:eastAsia="zh-CN"/>
        </w:rPr>
        <w:t xml:space="preserve">) and window size </w:t>
      </w:r>
      <w:r w:rsidR="00A70EC7">
        <w:rPr>
          <w:rFonts w:ascii="Cambria Math" w:eastAsia="宋体" w:hAnsi="Cambria Math" w:cs="Cambria Math"/>
          <w:kern w:val="0"/>
          <w:lang w:eastAsia="zh-CN"/>
        </w:rPr>
        <w:t>𝑛</w:t>
      </w:r>
      <w:r w:rsidR="00A70EC7">
        <w:rPr>
          <w:rFonts w:eastAsia="宋体"/>
          <w:kern w:val="0"/>
          <w:lang w:eastAsia="zh-CN"/>
        </w:rPr>
        <w:t xml:space="preserve">, reflecting long-range temporal correlations in the EEG signal. (C) Distribution of changes in nonlinear EEG complexity measures (Post-Pre) across frequency bands for Katz </w:t>
      </w:r>
      <w:proofErr w:type="spellStart"/>
      <w:r w:rsidR="00A70EC7">
        <w:rPr>
          <w:rFonts w:eastAsia="宋体"/>
          <w:kern w:val="0"/>
          <w:lang w:eastAsia="zh-CN"/>
        </w:rPr>
        <w:t>fFractal</w:t>
      </w:r>
      <w:proofErr w:type="spellEnd"/>
      <w:r w:rsidR="00A70EC7">
        <w:rPr>
          <w:rFonts w:eastAsia="宋体"/>
          <w:kern w:val="0"/>
          <w:lang w:eastAsia="zh-CN"/>
        </w:rPr>
        <w:t xml:space="preserve"> </w:t>
      </w:r>
      <w:proofErr w:type="spellStart"/>
      <w:r w:rsidR="00A70EC7">
        <w:rPr>
          <w:rFonts w:eastAsia="宋体"/>
          <w:kern w:val="0"/>
          <w:lang w:eastAsia="zh-CN"/>
        </w:rPr>
        <w:t>dDimension</w:t>
      </w:r>
      <w:proofErr w:type="spellEnd"/>
      <w:r w:rsidR="00A70EC7">
        <w:rPr>
          <w:rFonts w:eastAsia="宋体"/>
          <w:kern w:val="0"/>
          <w:lang w:eastAsia="zh-CN"/>
        </w:rPr>
        <w:t xml:space="preserve"> (KFD), Higuchi </w:t>
      </w:r>
      <w:proofErr w:type="spellStart"/>
      <w:r w:rsidR="00A70EC7">
        <w:rPr>
          <w:rFonts w:eastAsia="宋体"/>
          <w:kern w:val="0"/>
          <w:lang w:eastAsia="zh-CN"/>
        </w:rPr>
        <w:t>fFractal</w:t>
      </w:r>
      <w:proofErr w:type="spellEnd"/>
      <w:r w:rsidR="00A70EC7">
        <w:rPr>
          <w:rFonts w:eastAsia="宋体"/>
          <w:kern w:val="0"/>
          <w:lang w:eastAsia="zh-CN"/>
        </w:rPr>
        <w:t xml:space="preserve"> </w:t>
      </w:r>
      <w:proofErr w:type="spellStart"/>
      <w:r w:rsidR="00A70EC7">
        <w:rPr>
          <w:rFonts w:eastAsia="宋体"/>
          <w:kern w:val="0"/>
          <w:lang w:eastAsia="zh-CN"/>
        </w:rPr>
        <w:t>dDimension</w:t>
      </w:r>
      <w:proofErr w:type="spellEnd"/>
      <w:r w:rsidR="00A70EC7">
        <w:rPr>
          <w:rFonts w:eastAsia="宋体"/>
          <w:kern w:val="0"/>
          <w:lang w:eastAsia="zh-CN"/>
        </w:rPr>
        <w:t xml:space="preserve"> (HFD), and the DFA exponent. Violin plots illustrate the variability of feature changes across participants, with comparisons between non-treatment-resistant </w:t>
      </w:r>
      <w:r w:rsidR="00A70EC7">
        <w:rPr>
          <w:rFonts w:eastAsia="宋体"/>
          <w:kern w:val="0"/>
          <w:lang w:eastAsia="zh-CN"/>
        </w:rPr>
        <w:lastRenderedPageBreak/>
        <w:t>depression (non-TRD) and treatment-resistant depression (TRD) groups. * A minimal between-group difference (</w:t>
      </w:r>
      <w:r w:rsidR="00A70EC7">
        <w:rPr>
          <w:rFonts w:eastAsia="宋体"/>
          <w:i/>
          <w:iCs/>
          <w:kern w:val="0"/>
          <w:lang w:eastAsia="zh-CN"/>
        </w:rPr>
        <w:t>p</w:t>
      </w:r>
      <w:r w:rsidR="00A70EC7">
        <w:rPr>
          <w:rFonts w:eastAsia="宋体"/>
          <w:kern w:val="0"/>
          <w:lang w:eastAsia="zh-CN"/>
        </w:rPr>
        <w:t xml:space="preserve"> &lt; 0.05) was observed through exploratory univariate comparisons. However, the size of individual feature variations was often minor, implying that single EEG features may have limited discriminatory ability. These examples show how nonlinear EEG measures capture signal complexity and temporal dynamics, which may aid in the machine learning-based classification of clinical characteristics in major depressive disorder. EEG, electroencephalography; FD, Fractal Dimension.</w:t>
      </w:r>
    </w:p>
    <w:p w14:paraId="7993BBDC" w14:textId="77777777" w:rsidR="00BF4081" w:rsidRPr="00113816" w:rsidRDefault="00BF4081" w:rsidP="00BF4081"/>
    <w:sectPr w:rsidR="00BF4081" w:rsidRPr="00113816">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220A6" w14:textId="77777777" w:rsidR="00F856CC" w:rsidRDefault="00F856CC" w:rsidP="008B47E2">
      <w:pPr>
        <w:spacing w:line="240" w:lineRule="auto"/>
      </w:pPr>
      <w:r>
        <w:separator/>
      </w:r>
    </w:p>
  </w:endnote>
  <w:endnote w:type="continuationSeparator" w:id="0">
    <w:p w14:paraId="389DBE3F" w14:textId="77777777" w:rsidR="00F856CC" w:rsidRDefault="00F856CC" w:rsidP="008B47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DFKai-SB">
    <w:altName w:val="微软雅黑"/>
    <w:charset w:val="88"/>
    <w:family w:val="script"/>
    <w:pitch w:val="fixed"/>
    <w:sig w:usb0="00000003" w:usb1="080E0000" w:usb2="00000016" w:usb3="00000000" w:csb0="00100001" w:csb1="00000000"/>
  </w:font>
  <w:font w:name="Aptos Display">
    <w:altName w:val="Calibri"/>
    <w:charset w:val="00"/>
    <w:family w:val="swiss"/>
    <w:pitch w:val="variable"/>
    <w:sig w:usb0="20000287" w:usb1="00000003"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E834C" w14:textId="77777777" w:rsidR="00F856CC" w:rsidRDefault="00F856CC" w:rsidP="008B47E2">
      <w:pPr>
        <w:spacing w:line="240" w:lineRule="auto"/>
      </w:pPr>
      <w:r>
        <w:separator/>
      </w:r>
    </w:p>
  </w:footnote>
  <w:footnote w:type="continuationSeparator" w:id="0">
    <w:p w14:paraId="6FE86022" w14:textId="77777777" w:rsidR="00F856CC" w:rsidRDefault="00F856CC" w:rsidP="008B47E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C5517A"/>
    <w:multiLevelType w:val="hybridMultilevel"/>
    <w:tmpl w:val="B5B68CA8"/>
    <w:lvl w:ilvl="0" w:tplc="FCBC7C3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Layout" w:val="&lt;ENLayout&gt;&lt;Style&gt;Alpha Psychiatry&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veder2v2zaw0rcetremp9twcdtpwdswfrdxw&quot;&gt;TMS_Endnote_refernece-Saved&lt;record-ids&gt;&lt;item&gt;843&lt;/item&gt;&lt;item&gt;844&lt;/item&gt;&lt;item&gt;846&lt;/item&gt;&lt;item&gt;847&lt;/item&gt;&lt;item&gt;848&lt;/item&gt;&lt;item&gt;916&lt;/item&gt;&lt;item&gt;917&lt;/item&gt;&lt;/record-ids&gt;&lt;/item&gt;&lt;/Libraries&gt;"/>
  </w:docVars>
  <w:rsids>
    <w:rsidRoot w:val="00E92348"/>
    <w:rsid w:val="000A1A8B"/>
    <w:rsid w:val="000A47EE"/>
    <w:rsid w:val="000B0EBD"/>
    <w:rsid w:val="00113816"/>
    <w:rsid w:val="001238F6"/>
    <w:rsid w:val="00134CCF"/>
    <w:rsid w:val="00136DE2"/>
    <w:rsid w:val="00145154"/>
    <w:rsid w:val="0017442A"/>
    <w:rsid w:val="00180EDD"/>
    <w:rsid w:val="001B73F6"/>
    <w:rsid w:val="001C1E98"/>
    <w:rsid w:val="00202B84"/>
    <w:rsid w:val="002211A1"/>
    <w:rsid w:val="00233EA0"/>
    <w:rsid w:val="0025052E"/>
    <w:rsid w:val="00252659"/>
    <w:rsid w:val="00313C8B"/>
    <w:rsid w:val="003308CA"/>
    <w:rsid w:val="0035639F"/>
    <w:rsid w:val="0036023C"/>
    <w:rsid w:val="003E7648"/>
    <w:rsid w:val="00457B6B"/>
    <w:rsid w:val="004F2BC5"/>
    <w:rsid w:val="005A05D5"/>
    <w:rsid w:val="00610BBD"/>
    <w:rsid w:val="00646208"/>
    <w:rsid w:val="00657F7D"/>
    <w:rsid w:val="006778F8"/>
    <w:rsid w:val="006F229A"/>
    <w:rsid w:val="00767D35"/>
    <w:rsid w:val="00785D9E"/>
    <w:rsid w:val="007A610C"/>
    <w:rsid w:val="007E4FB5"/>
    <w:rsid w:val="00844C57"/>
    <w:rsid w:val="00872F32"/>
    <w:rsid w:val="0088561A"/>
    <w:rsid w:val="00893BD7"/>
    <w:rsid w:val="008B47E2"/>
    <w:rsid w:val="008C4220"/>
    <w:rsid w:val="009314F9"/>
    <w:rsid w:val="00942D50"/>
    <w:rsid w:val="009A7B1C"/>
    <w:rsid w:val="00A70EC7"/>
    <w:rsid w:val="00AA75BE"/>
    <w:rsid w:val="00AD5392"/>
    <w:rsid w:val="00B94BC2"/>
    <w:rsid w:val="00BF4081"/>
    <w:rsid w:val="00C90C12"/>
    <w:rsid w:val="00CA5EF1"/>
    <w:rsid w:val="00D10687"/>
    <w:rsid w:val="00D32FA7"/>
    <w:rsid w:val="00D9781E"/>
    <w:rsid w:val="00DB1AD2"/>
    <w:rsid w:val="00DB49DB"/>
    <w:rsid w:val="00E52169"/>
    <w:rsid w:val="00E7574D"/>
    <w:rsid w:val="00E778F0"/>
    <w:rsid w:val="00E92348"/>
    <w:rsid w:val="00ED115C"/>
    <w:rsid w:val="00F856CC"/>
    <w:rsid w:val="00F874EA"/>
    <w:rsid w:val="00FB2EA2"/>
    <w:rsid w:val="00FB679E"/>
    <w:rsid w:val="00FD0DDF"/>
    <w:rsid w:val="00FF3ED3"/>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5AD5CAC"/>
  <w15:chartTrackingRefBased/>
  <w15:docId w15:val="{EBD033C6-4A4F-4C4C-94B3-9D1860B68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30"/>
        <w:lang w:val="en-US" w:eastAsia="zh-TW" w:bidi="th-TH"/>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57B6B"/>
    <w:pPr>
      <w:widowControl w:val="0"/>
      <w:spacing w:after="0" w:line="480" w:lineRule="auto"/>
      <w:jc w:val="both"/>
    </w:pPr>
    <w:rPr>
      <w:rFonts w:ascii="Times New Roman" w:eastAsia="DFKai-SB" w:hAnsi="Times New Roman" w:cs="Times New Roman"/>
      <w:szCs w:val="24"/>
      <w:lang w:bidi="ar-SA"/>
      <w14:ligatures w14:val="none"/>
    </w:rPr>
  </w:style>
  <w:style w:type="paragraph" w:styleId="1">
    <w:name w:val="heading 1"/>
    <w:basedOn w:val="a"/>
    <w:next w:val="a"/>
    <w:link w:val="10"/>
    <w:qFormat/>
    <w:rsid w:val="00E92348"/>
    <w:pPr>
      <w:keepNext/>
      <w:keepLines/>
      <w:spacing w:before="480" w:after="80"/>
      <w:outlineLvl w:val="0"/>
    </w:pPr>
    <w:rPr>
      <w:rFonts w:asciiTheme="majorHAnsi" w:eastAsiaTheme="majorEastAsia" w:hAnsiTheme="majorHAnsi" w:cstheme="majorBidi"/>
      <w:color w:val="0F4761" w:themeColor="accent1" w:themeShade="BF"/>
      <w:sz w:val="48"/>
      <w:szCs w:val="61"/>
    </w:rPr>
  </w:style>
  <w:style w:type="paragraph" w:styleId="2">
    <w:name w:val="heading 2"/>
    <w:basedOn w:val="a"/>
    <w:next w:val="a"/>
    <w:link w:val="20"/>
    <w:unhideWhenUsed/>
    <w:qFormat/>
    <w:rsid w:val="00E92348"/>
    <w:pPr>
      <w:keepNext/>
      <w:keepLines/>
      <w:spacing w:before="160" w:after="80"/>
      <w:outlineLvl w:val="1"/>
    </w:pPr>
    <w:rPr>
      <w:rFonts w:asciiTheme="majorHAnsi" w:eastAsiaTheme="majorEastAsia" w:hAnsiTheme="majorHAnsi" w:cstheme="majorBidi"/>
      <w:color w:val="0F4761" w:themeColor="accent1" w:themeShade="BF"/>
      <w:sz w:val="40"/>
      <w:szCs w:val="50"/>
    </w:rPr>
  </w:style>
  <w:style w:type="paragraph" w:styleId="3">
    <w:name w:val="heading 3"/>
    <w:basedOn w:val="a"/>
    <w:next w:val="a"/>
    <w:link w:val="30"/>
    <w:unhideWhenUsed/>
    <w:qFormat/>
    <w:rsid w:val="00E92348"/>
    <w:pPr>
      <w:keepNext/>
      <w:keepLines/>
      <w:spacing w:before="160" w:after="40"/>
      <w:outlineLvl w:val="2"/>
    </w:pPr>
    <w:rPr>
      <w:rFonts w:eastAsiaTheme="majorEastAsia" w:cstheme="majorBidi"/>
      <w:color w:val="0F4761" w:themeColor="accent1" w:themeShade="BF"/>
      <w:sz w:val="32"/>
      <w:szCs w:val="40"/>
    </w:rPr>
  </w:style>
  <w:style w:type="paragraph" w:styleId="4">
    <w:name w:val="heading 4"/>
    <w:basedOn w:val="a"/>
    <w:next w:val="a"/>
    <w:link w:val="40"/>
    <w:unhideWhenUsed/>
    <w:qFormat/>
    <w:rsid w:val="00E92348"/>
    <w:pPr>
      <w:keepNext/>
      <w:keepLines/>
      <w:spacing w:before="160" w:after="40"/>
      <w:outlineLvl w:val="3"/>
    </w:pPr>
    <w:rPr>
      <w:rFonts w:eastAsiaTheme="majorEastAsia" w:cstheme="majorBidi"/>
      <w:color w:val="0F4761" w:themeColor="accent1" w:themeShade="BF"/>
      <w:sz w:val="28"/>
      <w:szCs w:val="35"/>
    </w:rPr>
  </w:style>
  <w:style w:type="paragraph" w:styleId="5">
    <w:name w:val="heading 5"/>
    <w:basedOn w:val="a"/>
    <w:next w:val="a"/>
    <w:link w:val="50"/>
    <w:uiPriority w:val="9"/>
    <w:semiHidden/>
    <w:unhideWhenUsed/>
    <w:qFormat/>
    <w:rsid w:val="00E92348"/>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E92348"/>
    <w:pPr>
      <w:keepNext/>
      <w:keepLines/>
      <w:spacing w:before="4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E92348"/>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E92348"/>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E9234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92348"/>
    <w:rPr>
      <w:rFonts w:asciiTheme="majorHAnsi" w:eastAsiaTheme="majorEastAsia" w:hAnsiTheme="majorHAnsi" w:cstheme="majorBidi"/>
      <w:color w:val="0F4761" w:themeColor="accent1" w:themeShade="BF"/>
      <w:sz w:val="48"/>
      <w:szCs w:val="61"/>
    </w:rPr>
  </w:style>
  <w:style w:type="character" w:customStyle="1" w:styleId="20">
    <w:name w:val="标题 2 字符"/>
    <w:basedOn w:val="a0"/>
    <w:link w:val="2"/>
    <w:uiPriority w:val="9"/>
    <w:semiHidden/>
    <w:rsid w:val="00E92348"/>
    <w:rPr>
      <w:rFonts w:asciiTheme="majorHAnsi" w:eastAsiaTheme="majorEastAsia" w:hAnsiTheme="majorHAnsi" w:cstheme="majorBidi"/>
      <w:color w:val="0F4761" w:themeColor="accent1" w:themeShade="BF"/>
      <w:sz w:val="40"/>
      <w:szCs w:val="50"/>
    </w:rPr>
  </w:style>
  <w:style w:type="character" w:customStyle="1" w:styleId="30">
    <w:name w:val="标题 3 字符"/>
    <w:basedOn w:val="a0"/>
    <w:link w:val="3"/>
    <w:uiPriority w:val="9"/>
    <w:semiHidden/>
    <w:rsid w:val="00E92348"/>
    <w:rPr>
      <w:rFonts w:eastAsiaTheme="majorEastAsia" w:cstheme="majorBidi"/>
      <w:color w:val="0F4761" w:themeColor="accent1" w:themeShade="BF"/>
      <w:sz w:val="32"/>
      <w:szCs w:val="40"/>
    </w:rPr>
  </w:style>
  <w:style w:type="character" w:customStyle="1" w:styleId="40">
    <w:name w:val="标题 4 字符"/>
    <w:basedOn w:val="a0"/>
    <w:link w:val="4"/>
    <w:uiPriority w:val="9"/>
    <w:semiHidden/>
    <w:rsid w:val="00E92348"/>
    <w:rPr>
      <w:rFonts w:eastAsiaTheme="majorEastAsia" w:cstheme="majorBidi"/>
      <w:color w:val="0F4761" w:themeColor="accent1" w:themeShade="BF"/>
      <w:sz w:val="28"/>
      <w:szCs w:val="35"/>
    </w:rPr>
  </w:style>
  <w:style w:type="character" w:customStyle="1" w:styleId="50">
    <w:name w:val="标题 5 字符"/>
    <w:basedOn w:val="a0"/>
    <w:link w:val="5"/>
    <w:uiPriority w:val="9"/>
    <w:semiHidden/>
    <w:rsid w:val="00E92348"/>
    <w:rPr>
      <w:rFonts w:eastAsiaTheme="majorEastAsia" w:cstheme="majorBidi"/>
      <w:color w:val="0F4761" w:themeColor="accent1" w:themeShade="BF"/>
    </w:rPr>
  </w:style>
  <w:style w:type="character" w:customStyle="1" w:styleId="60">
    <w:name w:val="标题 6 字符"/>
    <w:basedOn w:val="a0"/>
    <w:link w:val="6"/>
    <w:uiPriority w:val="9"/>
    <w:semiHidden/>
    <w:rsid w:val="00E92348"/>
    <w:rPr>
      <w:rFonts w:eastAsiaTheme="majorEastAsia" w:cstheme="majorBidi"/>
      <w:color w:val="595959" w:themeColor="text1" w:themeTint="A6"/>
    </w:rPr>
  </w:style>
  <w:style w:type="character" w:customStyle="1" w:styleId="70">
    <w:name w:val="标题 7 字符"/>
    <w:basedOn w:val="a0"/>
    <w:link w:val="7"/>
    <w:uiPriority w:val="9"/>
    <w:semiHidden/>
    <w:rsid w:val="00E92348"/>
    <w:rPr>
      <w:rFonts w:eastAsiaTheme="majorEastAsia" w:cstheme="majorBidi"/>
      <w:color w:val="595959" w:themeColor="text1" w:themeTint="A6"/>
    </w:rPr>
  </w:style>
  <w:style w:type="character" w:customStyle="1" w:styleId="80">
    <w:name w:val="标题 8 字符"/>
    <w:basedOn w:val="a0"/>
    <w:link w:val="8"/>
    <w:uiPriority w:val="9"/>
    <w:semiHidden/>
    <w:rsid w:val="00E92348"/>
    <w:rPr>
      <w:rFonts w:eastAsiaTheme="majorEastAsia" w:cstheme="majorBidi"/>
      <w:color w:val="272727" w:themeColor="text1" w:themeTint="D8"/>
    </w:rPr>
  </w:style>
  <w:style w:type="character" w:customStyle="1" w:styleId="90">
    <w:name w:val="标题 9 字符"/>
    <w:basedOn w:val="a0"/>
    <w:link w:val="9"/>
    <w:uiPriority w:val="9"/>
    <w:semiHidden/>
    <w:rsid w:val="00E92348"/>
    <w:rPr>
      <w:rFonts w:eastAsiaTheme="majorEastAsia" w:cstheme="majorBidi"/>
      <w:color w:val="272727" w:themeColor="text1" w:themeTint="D8"/>
    </w:rPr>
  </w:style>
  <w:style w:type="paragraph" w:styleId="a3">
    <w:name w:val="Title"/>
    <w:basedOn w:val="a"/>
    <w:next w:val="a"/>
    <w:link w:val="a4"/>
    <w:qFormat/>
    <w:rsid w:val="00E92348"/>
    <w:pPr>
      <w:spacing w:after="80" w:line="240" w:lineRule="auto"/>
      <w:contextualSpacing/>
      <w:jc w:val="center"/>
    </w:pPr>
    <w:rPr>
      <w:rFonts w:asciiTheme="majorHAnsi" w:eastAsiaTheme="majorEastAsia" w:hAnsiTheme="majorHAnsi" w:cstheme="majorBidi"/>
      <w:spacing w:val="-10"/>
      <w:kern w:val="28"/>
      <w:sz w:val="56"/>
      <w:szCs w:val="71"/>
    </w:rPr>
  </w:style>
  <w:style w:type="character" w:customStyle="1" w:styleId="a4">
    <w:name w:val="标题 字符"/>
    <w:basedOn w:val="a0"/>
    <w:link w:val="a3"/>
    <w:uiPriority w:val="10"/>
    <w:rsid w:val="00E92348"/>
    <w:rPr>
      <w:rFonts w:asciiTheme="majorHAnsi" w:eastAsiaTheme="majorEastAsia" w:hAnsiTheme="majorHAnsi" w:cstheme="majorBidi"/>
      <w:spacing w:val="-10"/>
      <w:kern w:val="28"/>
      <w:sz w:val="56"/>
      <w:szCs w:val="71"/>
    </w:rPr>
  </w:style>
  <w:style w:type="paragraph" w:styleId="a5">
    <w:name w:val="Subtitle"/>
    <w:basedOn w:val="a"/>
    <w:next w:val="a"/>
    <w:link w:val="a6"/>
    <w:uiPriority w:val="11"/>
    <w:qFormat/>
    <w:rsid w:val="00E92348"/>
    <w:pPr>
      <w:numPr>
        <w:ilvl w:val="1"/>
      </w:numPr>
      <w:jc w:val="center"/>
    </w:pPr>
    <w:rPr>
      <w:rFonts w:asciiTheme="majorHAnsi" w:eastAsiaTheme="majorEastAsia" w:hAnsiTheme="majorHAnsi" w:cstheme="majorBidi"/>
      <w:color w:val="595959" w:themeColor="text1" w:themeTint="A6"/>
      <w:spacing w:val="15"/>
      <w:sz w:val="28"/>
      <w:szCs w:val="35"/>
    </w:rPr>
  </w:style>
  <w:style w:type="character" w:customStyle="1" w:styleId="a6">
    <w:name w:val="副标题 字符"/>
    <w:basedOn w:val="a0"/>
    <w:link w:val="a5"/>
    <w:uiPriority w:val="11"/>
    <w:rsid w:val="00E92348"/>
    <w:rPr>
      <w:rFonts w:asciiTheme="majorHAnsi" w:eastAsiaTheme="majorEastAsia" w:hAnsiTheme="majorHAnsi" w:cstheme="majorBidi"/>
      <w:color w:val="595959" w:themeColor="text1" w:themeTint="A6"/>
      <w:spacing w:val="15"/>
      <w:sz w:val="28"/>
      <w:szCs w:val="35"/>
    </w:rPr>
  </w:style>
  <w:style w:type="paragraph" w:styleId="a7">
    <w:name w:val="Quote"/>
    <w:basedOn w:val="a"/>
    <w:next w:val="a"/>
    <w:link w:val="a8"/>
    <w:uiPriority w:val="29"/>
    <w:qFormat/>
    <w:rsid w:val="00E92348"/>
    <w:pPr>
      <w:spacing w:before="160"/>
      <w:jc w:val="center"/>
    </w:pPr>
    <w:rPr>
      <w:i/>
      <w:iCs/>
      <w:color w:val="404040" w:themeColor="text1" w:themeTint="BF"/>
    </w:rPr>
  </w:style>
  <w:style w:type="character" w:customStyle="1" w:styleId="a8">
    <w:name w:val="引用 字符"/>
    <w:basedOn w:val="a0"/>
    <w:link w:val="a7"/>
    <w:uiPriority w:val="29"/>
    <w:rsid w:val="00E92348"/>
    <w:rPr>
      <w:i/>
      <w:iCs/>
      <w:color w:val="404040" w:themeColor="text1" w:themeTint="BF"/>
    </w:rPr>
  </w:style>
  <w:style w:type="paragraph" w:styleId="a9">
    <w:name w:val="List Paragraph"/>
    <w:basedOn w:val="a"/>
    <w:uiPriority w:val="34"/>
    <w:qFormat/>
    <w:rsid w:val="00E92348"/>
    <w:pPr>
      <w:ind w:left="720"/>
      <w:contextualSpacing/>
    </w:pPr>
  </w:style>
  <w:style w:type="character" w:styleId="aa">
    <w:name w:val="Intense Emphasis"/>
    <w:basedOn w:val="a0"/>
    <w:uiPriority w:val="21"/>
    <w:qFormat/>
    <w:rsid w:val="00E92348"/>
    <w:rPr>
      <w:i/>
      <w:iCs/>
      <w:color w:val="0F4761" w:themeColor="accent1" w:themeShade="BF"/>
    </w:rPr>
  </w:style>
  <w:style w:type="paragraph" w:styleId="ab">
    <w:name w:val="Intense Quote"/>
    <w:basedOn w:val="a"/>
    <w:next w:val="a"/>
    <w:link w:val="ac"/>
    <w:uiPriority w:val="30"/>
    <w:qFormat/>
    <w:rsid w:val="00E923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E92348"/>
    <w:rPr>
      <w:i/>
      <w:iCs/>
      <w:color w:val="0F4761" w:themeColor="accent1" w:themeShade="BF"/>
    </w:rPr>
  </w:style>
  <w:style w:type="character" w:styleId="ad">
    <w:name w:val="Intense Reference"/>
    <w:basedOn w:val="a0"/>
    <w:uiPriority w:val="32"/>
    <w:qFormat/>
    <w:rsid w:val="00E92348"/>
    <w:rPr>
      <w:b/>
      <w:bCs/>
      <w:smallCaps/>
      <w:color w:val="0F4761" w:themeColor="accent1" w:themeShade="BF"/>
      <w:spacing w:val="5"/>
    </w:rPr>
  </w:style>
  <w:style w:type="paragraph" w:styleId="ae">
    <w:name w:val="header"/>
    <w:basedOn w:val="a"/>
    <w:link w:val="af"/>
    <w:uiPriority w:val="99"/>
    <w:unhideWhenUsed/>
    <w:rsid w:val="008B47E2"/>
    <w:pPr>
      <w:tabs>
        <w:tab w:val="center" w:pos="4153"/>
        <w:tab w:val="right" w:pos="8306"/>
      </w:tabs>
      <w:snapToGrid w:val="0"/>
    </w:pPr>
    <w:rPr>
      <w:sz w:val="20"/>
      <w:szCs w:val="25"/>
    </w:rPr>
  </w:style>
  <w:style w:type="character" w:customStyle="1" w:styleId="af">
    <w:name w:val="页眉 字符"/>
    <w:basedOn w:val="a0"/>
    <w:link w:val="ae"/>
    <w:uiPriority w:val="99"/>
    <w:rsid w:val="008B47E2"/>
    <w:rPr>
      <w:sz w:val="20"/>
      <w:szCs w:val="25"/>
    </w:rPr>
  </w:style>
  <w:style w:type="paragraph" w:styleId="af0">
    <w:name w:val="footer"/>
    <w:basedOn w:val="a"/>
    <w:link w:val="af1"/>
    <w:uiPriority w:val="99"/>
    <w:unhideWhenUsed/>
    <w:rsid w:val="008B47E2"/>
    <w:pPr>
      <w:tabs>
        <w:tab w:val="center" w:pos="4153"/>
        <w:tab w:val="right" w:pos="8306"/>
      </w:tabs>
      <w:snapToGrid w:val="0"/>
    </w:pPr>
    <w:rPr>
      <w:sz w:val="20"/>
      <w:szCs w:val="25"/>
    </w:rPr>
  </w:style>
  <w:style w:type="character" w:customStyle="1" w:styleId="af1">
    <w:name w:val="页脚 字符"/>
    <w:basedOn w:val="a0"/>
    <w:link w:val="af0"/>
    <w:uiPriority w:val="99"/>
    <w:rsid w:val="008B47E2"/>
    <w:rPr>
      <w:sz w:val="20"/>
      <w:szCs w:val="25"/>
    </w:rPr>
  </w:style>
  <w:style w:type="paragraph" w:customStyle="1" w:styleId="EndNoteBibliographyTitle">
    <w:name w:val="EndNote Bibliography Title"/>
    <w:basedOn w:val="a"/>
    <w:link w:val="EndNoteBibliographyTitle0"/>
    <w:rsid w:val="00202B84"/>
    <w:pPr>
      <w:jc w:val="center"/>
    </w:pPr>
    <w:rPr>
      <w:noProof/>
    </w:rPr>
  </w:style>
  <w:style w:type="character" w:customStyle="1" w:styleId="EndNoteBibliographyTitle0">
    <w:name w:val="EndNote Bibliography Title 字元"/>
    <w:basedOn w:val="a0"/>
    <w:link w:val="EndNoteBibliographyTitle"/>
    <w:rsid w:val="00202B84"/>
    <w:rPr>
      <w:rFonts w:ascii="Times New Roman" w:eastAsia="DFKai-SB" w:hAnsi="Times New Roman" w:cs="Times New Roman"/>
      <w:noProof/>
      <w:szCs w:val="24"/>
      <w:lang w:bidi="ar-SA"/>
      <w14:ligatures w14:val="none"/>
    </w:rPr>
  </w:style>
  <w:style w:type="paragraph" w:customStyle="1" w:styleId="EndNoteBibliography">
    <w:name w:val="EndNote Bibliography"/>
    <w:basedOn w:val="a"/>
    <w:link w:val="EndNoteBibliography0"/>
    <w:rsid w:val="00202B84"/>
    <w:pPr>
      <w:spacing w:line="240" w:lineRule="auto"/>
    </w:pPr>
    <w:rPr>
      <w:noProof/>
    </w:rPr>
  </w:style>
  <w:style w:type="character" w:customStyle="1" w:styleId="EndNoteBibliography0">
    <w:name w:val="EndNote Bibliography 字元"/>
    <w:basedOn w:val="a0"/>
    <w:link w:val="EndNoteBibliography"/>
    <w:rsid w:val="00202B84"/>
    <w:rPr>
      <w:rFonts w:ascii="Times New Roman" w:eastAsia="DFKai-SB" w:hAnsi="Times New Roman" w:cs="Times New Roman"/>
      <w:noProof/>
      <w:szCs w:val="24"/>
      <w:lang w:bidi="ar-SA"/>
      <w14:ligatures w14:val="none"/>
    </w:rPr>
  </w:style>
  <w:style w:type="character" w:styleId="af2">
    <w:name w:val="Hyperlink"/>
    <w:basedOn w:val="a0"/>
    <w:uiPriority w:val="99"/>
    <w:unhideWhenUsed/>
    <w:rsid w:val="00202B84"/>
    <w:rPr>
      <w:color w:val="467886" w:themeColor="hyperlink"/>
      <w:u w:val="single"/>
    </w:rPr>
  </w:style>
  <w:style w:type="character" w:styleId="af3">
    <w:name w:val="Unresolved Mention"/>
    <w:basedOn w:val="a0"/>
    <w:uiPriority w:val="99"/>
    <w:semiHidden/>
    <w:unhideWhenUsed/>
    <w:rsid w:val="00202B84"/>
    <w:rPr>
      <w:color w:val="605E5C"/>
      <w:shd w:val="clear" w:color="auto" w:fill="E1DFDD"/>
    </w:rPr>
  </w:style>
  <w:style w:type="character" w:styleId="af4">
    <w:name w:val="FollowedHyperlink"/>
    <w:basedOn w:val="a0"/>
    <w:uiPriority w:val="99"/>
    <w:semiHidden/>
    <w:unhideWhenUsed/>
    <w:rsid w:val="007A610C"/>
    <w:rPr>
      <w:color w:val="96607D" w:themeColor="followedHyperlink"/>
      <w:u w:val="single"/>
    </w:rPr>
  </w:style>
  <w:style w:type="character" w:styleId="af5">
    <w:name w:val="Placeholder Text"/>
    <w:basedOn w:val="a0"/>
    <w:uiPriority w:val="99"/>
    <w:semiHidden/>
    <w:rsid w:val="007A610C"/>
    <w:rPr>
      <w:color w:val="666666"/>
    </w:rPr>
  </w:style>
  <w:style w:type="table" w:styleId="51">
    <w:name w:val="Grid Table 5 Dark"/>
    <w:basedOn w:val="a1"/>
    <w:uiPriority w:val="50"/>
    <w:rsid w:val="0036023C"/>
    <w:pPr>
      <w:spacing w:after="0" w:line="240" w:lineRule="auto"/>
    </w:pPr>
    <w:rPr>
      <w:szCs w:val="22"/>
      <w:lang w:bidi="ar-SA"/>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8633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3389/fdata.2020.00015" TargetMode="External"/><Relationship Id="rId3" Type="http://schemas.openxmlformats.org/officeDocument/2006/relationships/settings" Target="settings.xml"/><Relationship Id="rId7" Type="http://schemas.openxmlformats.org/officeDocument/2006/relationships/hyperlink" Target="https://doi.org/10.1016/s0893-6080(00)00026-5"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s://doi.org/10.1186/s40537-020-00369-8"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13</Pages>
  <Words>3714</Words>
  <Characters>21172</Characters>
  <Application>Microsoft Office Word</Application>
  <DocSecurity>0</DocSecurity>
  <Lines>176</Lines>
  <Paragraphs>49</Paragraphs>
  <ScaleCrop>false</ScaleCrop>
  <Company/>
  <LinksUpToDate>false</LinksUpToDate>
  <CharactersWithSpaces>24837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Cheng-Ta Li 達</dc:creator>
  <cp:keywords/>
  <dc:description/>
  <cp:lastModifiedBy>Rui Teo</cp:lastModifiedBy>
  <cp:revision>6</cp:revision>
  <dcterms:created xsi:type="dcterms:W3CDTF">2026-03-06T07:55:00Z</dcterms:created>
  <dcterms:modified xsi:type="dcterms:W3CDTF">2026-06-28T06:34:00Z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5fbc6ce9-c33e-424f-8671-7640d2f92a82</vt:lpwstr>
  </property>
</Properties>
</file>